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510401</w:t>
      </w:r>
    </w:p>
    <w:p>
      <w:pPr>
        <w:pStyle w:val="14"/>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cs="Arial"/>
          <w:b/>
          <w:sz w:val="24"/>
          <w:szCs w:val="24"/>
          <w:lang w:val="en-US" w:eastAsia="zh-CN"/>
        </w:rPr>
        <w:t xml:space="preserve">Bengaluru, </w:t>
      </w:r>
      <w:r>
        <w:rPr>
          <w:rFonts w:hint="eastAsia" w:eastAsia="宋体" w:cs="Arial"/>
          <w:b/>
          <w:sz w:val="24"/>
          <w:szCs w:val="24"/>
          <w:lang w:val="en-US" w:eastAsia="zh-CN"/>
        </w:rPr>
        <w:t>India, 25th-29th Aug., 2025</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receiver characteristics for LP-WUR</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b w:val="0"/>
          <w:bCs/>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7.24.3.3</w:t>
      </w:r>
    </w:p>
    <w:p>
      <w:pPr>
        <w:pStyle w:val="14"/>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8"/>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receiver characteristics for LP-WUR.</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1 Blocking characteristics</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Theme="minorEastAsia"/>
          <w:lang w:val="en-US" w:eastAsia="zh-CN"/>
        </w:rPr>
      </w:pPr>
      <w:r>
        <w:rPr>
          <w:rFonts w:hint="eastAsia" w:cs="Times New Roman"/>
          <w:b w:val="0"/>
          <w:bCs w:val="0"/>
          <w:i w:val="0"/>
          <w:iCs w:val="0"/>
          <w:sz w:val="20"/>
          <w:szCs w:val="20"/>
          <w:highlight w:val="none"/>
          <w:lang w:val="en-US" w:eastAsia="zh-CN"/>
        </w:rPr>
        <w:t xml:space="preserve">The blocking characteristic is a measure of the receiver's ability to receive a wanted signal at its assigned channel frequency in the presence of an unwanted interferer on frequencies specified for IBB and OBB. </w:t>
      </w:r>
      <w:r>
        <w:rPr>
          <w:rFonts w:hint="eastAsia" w:eastAsiaTheme="minorEastAsia"/>
          <w:lang w:val="en-US" w:eastAsia="zh-CN"/>
        </w:rPr>
        <w:t>LP-WUR and MR may share the same antenna and baseband processor, which means that LP-WUR and MR will suffer the same level of interference. RAN4 had agreed that same interference level as MR should be considered for IBB and OBB in last meeting[1].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ko-KR"/>
              </w:rPr>
              <w:t xml:space="preserve">Issue </w:t>
            </w:r>
            <w:r>
              <w:rPr>
                <w:rFonts w:hint="default" w:ascii="Times New Roman" w:hAnsi="Times New Roman" w:cs="Times New Roman"/>
                <w:b/>
                <w:sz w:val="20"/>
                <w:szCs w:val="20"/>
                <w:highlight w:val="none"/>
                <w:u w:val="single"/>
                <w:lang w:eastAsia="zh-CN"/>
              </w:rPr>
              <w:t>3</w:t>
            </w:r>
            <w:r>
              <w:rPr>
                <w:rFonts w:hint="default" w:ascii="Times New Roman" w:hAnsi="Times New Roman" w:cs="Times New Roman"/>
                <w:b/>
                <w:sz w:val="20"/>
                <w:szCs w:val="20"/>
                <w:highlight w:val="none"/>
                <w:u w:val="single"/>
                <w:lang w:eastAsia="ko-KR"/>
              </w:rPr>
              <w:t>-1-</w:t>
            </w:r>
            <w:r>
              <w:rPr>
                <w:rFonts w:hint="default" w:ascii="Times New Roman" w:hAnsi="Times New Roman" w:cs="Times New Roman"/>
                <w:b/>
                <w:sz w:val="20"/>
                <w:szCs w:val="20"/>
                <w:highlight w:val="none"/>
                <w:u w:val="single"/>
                <w:lang w:eastAsia="zh-CN"/>
              </w:rPr>
              <w:t>1</w:t>
            </w:r>
            <w:r>
              <w:rPr>
                <w:rFonts w:hint="default" w:ascii="Times New Roman" w:hAnsi="Times New Roman" w:cs="Times New Roman"/>
                <w:b/>
                <w:sz w:val="20"/>
                <w:szCs w:val="20"/>
                <w:highlight w:val="none"/>
                <w:u w:val="single"/>
                <w:lang w:eastAsia="ko-KR"/>
              </w:rPr>
              <w:t xml:space="preserve">: </w:t>
            </w:r>
            <w:r>
              <w:rPr>
                <w:rFonts w:hint="default" w:ascii="Times New Roman" w:hAnsi="Times New Roman" w:cs="Times New Roman"/>
                <w:b/>
                <w:sz w:val="20"/>
                <w:szCs w:val="20"/>
                <w:highlight w:val="none"/>
                <w:u w:val="single"/>
                <w:lang w:eastAsia="zh-CN"/>
              </w:rPr>
              <w:t>IBB, OBB requirements</w:t>
            </w:r>
          </w:p>
          <w:p>
            <w:pPr>
              <w:keepNext w:val="0"/>
              <w:keepLines w:val="0"/>
              <w:pageBreakBefore w:val="0"/>
              <w:kinsoku/>
              <w:wordWrap/>
              <w:overflowPunct/>
              <w:topLinePunct w:val="0"/>
              <w:autoSpaceDE/>
              <w:autoSpaceDN/>
              <w:bidi w:val="0"/>
              <w:adjustRightInd/>
              <w:snapToGrid w:val="0"/>
              <w:spacing w:after="120" w:line="240" w:lineRule="auto"/>
              <w:textAlignment w:val="auto"/>
              <w:rPr>
                <w:rFonts w:hint="default" w:ascii="Times New Roman" w:hAnsi="Times New Roman" w:cs="Times New Roman"/>
                <w:b/>
                <w:sz w:val="20"/>
                <w:szCs w:val="20"/>
                <w:highlight w:val="none"/>
                <w:u w:val="single"/>
                <w:lang w:eastAsia="zh-CN"/>
              </w:rPr>
            </w:pPr>
            <w:r>
              <w:rPr>
                <w:rFonts w:hint="default" w:ascii="Times New Roman" w:hAnsi="Times New Roman" w:cs="Times New Roman"/>
                <w:b/>
                <w:sz w:val="20"/>
                <w:szCs w:val="20"/>
                <w:highlight w:val="none"/>
                <w:u w:val="single"/>
                <w:lang w:eastAsia="zh-CN"/>
              </w:rPr>
              <w:t>Agreements:</w:t>
            </w:r>
          </w:p>
          <w:p>
            <w:pPr>
              <w:pStyle w:val="29"/>
              <w:keepNext w:val="0"/>
              <w:keepLines w:val="0"/>
              <w:pageBreakBefore w:val="0"/>
              <w:numPr>
                <w:ilvl w:val="0"/>
                <w:numId w:val="4"/>
              </w:numPr>
              <w:kinsoku/>
              <w:wordWrap/>
              <w:overflowPunct/>
              <w:topLinePunct w:val="0"/>
              <w:autoSpaceDE/>
              <w:autoSpaceDN/>
              <w:bidi w:val="0"/>
              <w:adjustRightInd/>
              <w:snapToGrid w:val="0"/>
              <w:spacing w:after="120" w:line="240" w:lineRule="auto"/>
              <w:ind w:firstLineChars="0"/>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cs="Times New Roman"/>
                <w:sz w:val="20"/>
                <w:szCs w:val="20"/>
                <w:highlight w:val="none"/>
                <w:lang w:eastAsia="zh-CN"/>
              </w:rPr>
              <w:t>Same interference level as MR. further discuss and decide next meeting on relaxed wanted signal.</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the test parameters of LP-WUR, first, similar to ACS test, bandwidth of the interferer should be 5MHz and WUS should be located at edge of the NR carrier. We understand that envelope detection of OOK-based receiver and time-domain sequence detection of OFDM-based receiver are not able to match the performance of traditional frequency-domain demodulation of MR. With same interference level as MR, to guarantee 1% MDR, higher LP-WUS power than MR wanted signal power is required.</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Therefore, in terms of the LP-WUS power in IBB and OBB parameters, we agree to add further relaxation for LP-WUR based on legacy REFSENS+6dB. We propose to consider the test parameters for IBB of LP-WUR in Table 1-1, 1-2, 1-3, and the test parameters for OBB of LP-WUR in Table 2-1, 2-2, 2-3 and the test parameters for OBB of LP-WUR in Table 3, Table 4.</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1: Consider the test parameters for IBB of LP-WUR in Table 1-1, 1-2, 1-3, and the test parameters for OBB of LP-WUR in Table 2-1, 2-2, 2-3.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cs="Times New Roman"/>
          <w:b/>
          <w:lang w:val="en-US" w:eastAsia="zh-CN"/>
        </w:rPr>
        <w:t>1-1</w:t>
      </w:r>
      <w:r>
        <w:rPr>
          <w:rFonts w:hint="eastAsia" w:ascii="Times New Roman" w:hAnsi="Times New Roman" w:cs="Times New Roman"/>
          <w:b/>
          <w:lang w:val="en-US" w:eastAsia="zh-CN"/>
        </w:rPr>
        <w:t xml:space="preserve">  </w:t>
      </w:r>
      <w:r>
        <w:rPr>
          <w:rFonts w:hint="default" w:ascii="Times New Roman" w:hAnsi="Times New Roman" w:cs="Times New Roman"/>
          <w:b/>
        </w:rPr>
        <w:t>In-band blocking parameters for</w:t>
      </w:r>
      <w:r>
        <w:rPr>
          <w:rFonts w:hint="eastAsia" w:eastAsia="宋体" w:cs="Times New Roman"/>
          <w:b/>
          <w:highlight w:val="none"/>
          <w:lang w:val="en-US" w:eastAsia="zh-CN"/>
        </w:rPr>
        <w:t xml:space="preserve"> Type 1 </w:t>
      </w:r>
      <w:r>
        <w:rPr>
          <w:rFonts w:hint="eastAsia" w:ascii="Times New Roman" w:hAnsi="Times New Roman" w:cs="Times New Roman"/>
          <w:b/>
          <w:highlight w:val="none"/>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highlight w:val="yellow"/>
                <w:lang w:val="en-US" w:eastAsia="zh-CN"/>
              </w:rPr>
            </w:pPr>
            <w:r>
              <w:rPr>
                <w:rFonts w:ascii="Arial" w:hAnsi="Arial"/>
                <w:sz w:val="18"/>
                <w:highlight w:val="none"/>
              </w:rPr>
              <w:t>REFSENS</w:t>
            </w:r>
            <w:r>
              <w:rPr>
                <w:rFonts w:hint="default" w:ascii="Arial" w:hAnsi="Arial" w:cs="Arial"/>
                <w:b w:val="0"/>
                <w:bCs/>
                <w:highlight w:val="none"/>
                <w:vertAlign w:val="subscript"/>
                <w:lang w:val="en-US" w:eastAsia="zh-CN"/>
              </w:rPr>
              <w:t>Type1_LR</w:t>
            </w:r>
            <w:r>
              <w:rPr>
                <w:rFonts w:ascii="Arial" w:hAnsi="Arial"/>
                <w:sz w:val="18"/>
                <w:highlight w:val="none"/>
              </w:rPr>
              <w:t xml:space="preserve"> + </w:t>
            </w:r>
            <w:r>
              <w:rPr>
                <w:rFonts w:hint="eastAsia" w:ascii="Arial" w:hAnsi="Arial" w:eastAsia="宋体"/>
                <w:sz w:val="18"/>
                <w:highlight w:val="none"/>
                <w:lang w:val="en-US" w:eastAsia="zh-CN"/>
              </w:rPr>
              <w:t>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highlight w:val="none"/>
                <w:lang w:val="en-US" w:eastAsia="zh-CN"/>
              </w:rPr>
            </w:pPr>
            <w:r>
              <w:rPr>
                <w:rFonts w:hint="eastAsia"/>
                <w:highlight w:val="none"/>
                <w:lang w:val="en-US" w:eastAsia="zh-CN"/>
              </w:rPr>
              <w:t xml:space="preserve">NOTE 1: </w:t>
            </w:r>
            <w:r>
              <w:t xml:space="preserve">LP-WUS is configured at the </w:t>
            </w:r>
            <w:r>
              <w:rPr>
                <w:rFonts w:hint="eastAsia"/>
                <w:lang w:val="en-US" w:eastAsia="zh-CN"/>
              </w:rPr>
              <w:t>closest edge from the interferer</w:t>
            </w:r>
            <w:r>
              <w:t xml:space="preserve"> of the NR carrier</w:t>
            </w:r>
            <w:r>
              <w:rPr>
                <w:rFonts w:hint="eastAsia"/>
                <w:lang w:val="en-US" w:eastAsia="zh-CN"/>
              </w:rPr>
              <w:t xml:space="preserve"> without adjacent sub-carrier interference</w:t>
            </w:r>
            <w: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cs="Times New Roman"/>
          <w:b/>
          <w:lang w:val="en-US" w:eastAsia="zh-CN"/>
        </w:rPr>
        <w:t>1-2</w:t>
      </w:r>
      <w:r>
        <w:rPr>
          <w:rFonts w:hint="eastAsia" w:ascii="Times New Roman" w:hAnsi="Times New Roman" w:cs="Times New Roman"/>
          <w:b/>
          <w:lang w:val="en-US" w:eastAsia="zh-CN"/>
        </w:rPr>
        <w:t xml:space="preserve">  </w:t>
      </w:r>
      <w:r>
        <w:rPr>
          <w:rFonts w:hint="default" w:ascii="Times New Roman" w:hAnsi="Times New Roman" w:cs="Times New Roman"/>
          <w:b/>
        </w:rPr>
        <w:t>In-band blocking parameters for</w:t>
      </w:r>
      <w:r>
        <w:rPr>
          <w:rFonts w:hint="eastAsia" w:eastAsia="宋体" w:cs="Times New Roman"/>
          <w:b/>
          <w:highlight w:val="none"/>
          <w:lang w:val="en-US" w:eastAsia="zh-CN"/>
        </w:rPr>
        <w:t xml:space="preserve"> Type 2 </w:t>
      </w:r>
      <w:r>
        <w:rPr>
          <w:rFonts w:hint="eastAsia" w:ascii="Times New Roman" w:hAnsi="Times New Roman" w:cs="Times New Roman"/>
          <w:b/>
          <w:highlight w:val="none"/>
          <w:lang w:val="en-US" w:eastAsia="zh-CN"/>
        </w:rPr>
        <w:t>LP-WUR</w:t>
      </w:r>
    </w:p>
    <w:tbl>
      <w:tblPr>
        <w:tblStyle w:val="17"/>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5"/>
        <w:gridCol w:w="1119"/>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jc w:val="center"/>
        </w:trPr>
        <w:tc>
          <w:tcPr>
            <w:tcW w:w="1955"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111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ascii="Arial" w:hAnsi="Arial" w:eastAsia="宋体"/>
                <w:b/>
                <w:sz w:val="18"/>
                <w:lang w:val="en-US" w:eastAsia="zh-CN"/>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r>
              <w:rPr>
                <w:rFonts w:hint="eastAsia" w:ascii="Arial" w:hAnsi="Arial" w:eastAsia="宋体"/>
                <w:b/>
                <w:sz w:val="18"/>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1119"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b/>
                <w:sz w:val="18"/>
                <w:lang w:val="en-US" w:eastAsia="zh-CN"/>
              </w:rPr>
            </w:pPr>
            <w:r>
              <w:rPr>
                <w:rFonts w:hint="eastAsia" w:ascii="Arial" w:hAnsi="Arial"/>
                <w:b/>
                <w:sz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pPr>
            <w:r>
              <w:rPr>
                <w:rFonts w:hint="eastAsia" w:ascii="Arial" w:hAnsi="Arial" w:eastAsia="宋体"/>
                <w:sz w:val="18"/>
                <w:lang w:val="en-US" w:eastAsia="zh-CN"/>
              </w:rPr>
              <w:t xml:space="preserve">LP-WUS </w:t>
            </w:r>
            <w:r>
              <w:rPr>
                <w:rFonts w:ascii="Arial" w:hAnsi="Arial"/>
                <w:sz w:val="18"/>
              </w:rPr>
              <w:t>Power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highlight w:val="yellow"/>
                <w:lang w:val="en-US" w:eastAsia="zh-CN"/>
              </w:rPr>
            </w:pPr>
            <w:r>
              <w:rPr>
                <w:rFonts w:ascii="Arial" w:hAnsi="Arial"/>
                <w:sz w:val="18"/>
                <w:highlight w:val="none"/>
              </w:rPr>
              <w:t>REFSENS</w:t>
            </w:r>
            <w:r>
              <w:rPr>
                <w:rFonts w:hint="default" w:ascii="Arial" w:hAnsi="Arial" w:cs="Arial"/>
                <w:b w:val="0"/>
                <w:bCs/>
                <w:highlight w:val="none"/>
                <w:vertAlign w:val="subscript"/>
                <w:lang w:val="en-US" w:eastAsia="zh-CN"/>
              </w:rPr>
              <w:t>Type2_LR</w:t>
            </w:r>
            <w:r>
              <w:rPr>
                <w:rFonts w:ascii="Arial" w:hAnsi="Arial"/>
                <w:sz w:val="18"/>
                <w:highlight w:val="none"/>
              </w:rPr>
              <w:t xml:space="preserve"> + </w:t>
            </w:r>
            <w:r>
              <w:rPr>
                <w:rFonts w:hint="eastAsia" w:ascii="Arial" w:hAnsi="Arial" w:eastAsia="宋体"/>
                <w:sz w:val="18"/>
                <w:highlight w:val="none"/>
                <w:lang w:val="en-US"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BW</w:t>
            </w:r>
            <w:r>
              <w:rPr>
                <w:rFonts w:ascii="Arial" w:hAnsi="Arial"/>
                <w:sz w:val="18"/>
                <w:vertAlign w:val="subscript"/>
                <w:lang w:val="sv-SE"/>
              </w:rPr>
              <w:t>interferer</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1</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955" w:type="dxa"/>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rFonts w:ascii="Arial" w:hAnsi="Arial"/>
                <w:sz w:val="18"/>
                <w:lang w:val="sv-SE"/>
              </w:rPr>
              <w:t>F</w:t>
            </w:r>
            <w:r>
              <w:rPr>
                <w:rFonts w:ascii="Arial" w:hAnsi="Arial"/>
                <w:sz w:val="18"/>
                <w:vertAlign w:val="subscript"/>
                <w:lang w:val="sv-SE"/>
              </w:rPr>
              <w:t>Ioffset case 2</w:t>
            </w:r>
          </w:p>
        </w:tc>
        <w:tc>
          <w:tcPr>
            <w:tcW w:w="1119"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lang w:val="sv-SE"/>
              </w:rPr>
            </w:pPr>
            <w:r>
              <w:rPr>
                <w:rFonts w:ascii="Arial" w:hAnsi="Arial"/>
                <w:sz w:val="18"/>
                <w:lang w:val="sv-SE"/>
              </w:rPr>
              <w:t>MHz</w:t>
            </w:r>
          </w:p>
        </w:tc>
        <w:tc>
          <w:tcPr>
            <w:tcW w:w="4864"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7938" w:type="dxa"/>
            <w:gridSpan w:val="3"/>
            <w:shd w:val="clear" w:color="auto" w:fill="auto"/>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ascii="Arial" w:hAnsi="Arial" w:eastAsia="宋体"/>
                <w:sz w:val="18"/>
                <w:lang w:val="en-US" w:eastAsia="zh-CN"/>
              </w:rPr>
            </w:pPr>
            <w:r>
              <w:rPr>
                <w:rFonts w:hint="eastAsia"/>
                <w:highlight w:val="none"/>
                <w:lang w:val="en-US" w:eastAsia="zh-CN"/>
              </w:rPr>
              <w:t xml:space="preserve">NOTE 1: </w:t>
            </w:r>
            <w:r>
              <w:t xml:space="preserve">LP-WUS is configured at the </w:t>
            </w:r>
            <w:r>
              <w:rPr>
                <w:rFonts w:hint="eastAsia"/>
                <w:lang w:val="en-US" w:eastAsia="zh-CN"/>
              </w:rPr>
              <w:t>closest edge from the interferer</w:t>
            </w:r>
            <w:r>
              <w:t xml:space="preserve"> of the NR carrier</w:t>
            </w:r>
            <w:r>
              <w:rPr>
                <w:rFonts w:hint="eastAsia"/>
                <w:lang w:val="en-US" w:eastAsia="zh-CN"/>
              </w:rPr>
              <w:t xml:space="preserve"> without adjacent sub-carrier interference</w:t>
            </w:r>
            <w: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1-3  </w:t>
      </w:r>
      <w:r>
        <w:rPr>
          <w:rFonts w:hint="default" w:ascii="Times New Roman" w:hAnsi="Times New Roman" w:cs="Times New Roman"/>
          <w:b/>
        </w:rPr>
        <w:t xml:space="preserve">In-band blocking </w:t>
      </w:r>
      <w:r>
        <w:rPr>
          <w:rFonts w:hint="eastAsia" w:eastAsia="宋体" w:cs="Times New Roman"/>
          <w:b/>
          <w:lang w:val="en-US" w:eastAsia="zh-CN"/>
        </w:rPr>
        <w:t>for LP-WUR</w:t>
      </w:r>
    </w:p>
    <w:tbl>
      <w:tblPr>
        <w:tblStyle w:val="17"/>
        <w:tblW w:w="8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710"/>
        <w:gridCol w:w="3070"/>
        <w:gridCol w:w="3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362" w:type="dxa"/>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Parameter</w:t>
            </w:r>
          </w:p>
        </w:tc>
        <w:tc>
          <w:tcPr>
            <w:tcW w:w="71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3070"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1</w:t>
            </w:r>
          </w:p>
        </w:tc>
        <w:tc>
          <w:tcPr>
            <w:tcW w:w="3073"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P</w:t>
            </w:r>
            <w:r>
              <w:rPr>
                <w:vertAlign w:val="subscript"/>
                <w:lang w:val="sv-SE"/>
              </w:rPr>
              <w:t>interferer</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dBm</w:t>
            </w:r>
          </w:p>
        </w:tc>
        <w:tc>
          <w:tcPr>
            <w:tcW w:w="307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highlight w:val="none"/>
              </w:rPr>
              <w:t>-56</w:t>
            </w:r>
          </w:p>
        </w:tc>
        <w:tc>
          <w:tcPr>
            <w:tcW w:w="3073"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highlight w:val="none"/>
                <w:lang w:val="en-US" w:eastAsia="zh-CN"/>
              </w:rPr>
            </w:pPr>
            <w:r>
              <w:rPr>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362" w:type="dxa"/>
            <w:shd w:val="clear" w:color="auto" w:fill="auto"/>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lang w:val="en-US" w:eastAsia="zh-CN"/>
              </w:rPr>
            </w:pPr>
            <w:r>
              <w:rPr>
                <w:highlight w:val="none"/>
                <w:lang w:val="sv-SE"/>
              </w:rPr>
              <w:t>F</w:t>
            </w:r>
            <w:r>
              <w:rPr>
                <w:highlight w:val="none"/>
                <w:vertAlign w:val="subscript"/>
                <w:lang w:val="sv-SE"/>
              </w:rPr>
              <w:t>interferer</w:t>
            </w:r>
            <w:r>
              <w:rPr>
                <w:highlight w:val="none"/>
                <w:lang w:val="sv-SE"/>
              </w:rPr>
              <w:t xml:space="preserve"> (offset)</w:t>
            </w:r>
            <w:r>
              <w:rPr>
                <w:rFonts w:hint="eastAsia"/>
                <w:highlight w:val="none"/>
                <w:vertAlign w:val="superscript"/>
                <w:lang w:val="en-US" w:eastAsia="zh-CN"/>
              </w:rPr>
              <w:t>1</w:t>
            </w:r>
          </w:p>
        </w:tc>
        <w:tc>
          <w:tcPr>
            <w:tcW w:w="710"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lang w:val="sv-SE"/>
              </w:rPr>
            </w:pPr>
            <w:r>
              <w:rPr>
                <w:lang w:val="sv-SE"/>
              </w:rPr>
              <w:t>MHz</w:t>
            </w:r>
          </w:p>
        </w:tc>
        <w:tc>
          <w:tcPr>
            <w:tcW w:w="3070"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xml:space="preserve"> -BW</w:t>
            </w:r>
            <w:r>
              <w:rPr>
                <w:vertAlign w:val="subscript"/>
              </w:rPr>
              <w:t>Channel</w:t>
            </w:r>
            <w:r>
              <w:t>/2 – F</w:t>
            </w:r>
            <w:r>
              <w:rPr>
                <w:vertAlign w:val="subscript"/>
              </w:rPr>
              <w:t>Ioffset, case 1</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and</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/2 + F</w:t>
            </w:r>
            <w:r>
              <w:rPr>
                <w:vertAlign w:val="subscript"/>
              </w:rPr>
              <w:t>Ioffset, case 1</w:t>
            </w:r>
          </w:p>
        </w:tc>
        <w:tc>
          <w:tcPr>
            <w:tcW w:w="3073"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-BW</w:t>
            </w:r>
            <w:r>
              <w:rPr>
                <w:vertAlign w:val="subscript"/>
              </w:rPr>
              <w:t>Channel</w:t>
            </w:r>
            <w:r>
              <w:t>/2 – F</w:t>
            </w:r>
            <w:r>
              <w:rPr>
                <w:vertAlign w:val="subscript"/>
              </w:rPr>
              <w:t>Ioffset, case 2</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and</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 BW</w:t>
            </w:r>
            <w:r>
              <w:rPr>
                <w:vertAlign w:val="subscript"/>
              </w:rPr>
              <w:t>Channel</w:t>
            </w:r>
            <w:r>
              <w:t>/2 + F</w:t>
            </w:r>
            <w:r>
              <w:rPr>
                <w:vertAlign w:val="subscript"/>
              </w:rPr>
              <w:t>Ioffset, case 2</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2-1 </w:t>
      </w:r>
      <w:r>
        <w:rPr>
          <w:rFonts w:hint="default" w:ascii="Times New Roman" w:hAnsi="Times New Roman" w:cs="Times New Roman"/>
          <w:b/>
        </w:rPr>
        <w:t xml:space="preserve"> Out-of-band blocking parameters for</w:t>
      </w:r>
      <w:r>
        <w:rPr>
          <w:rFonts w:hint="default" w:ascii="Times New Roman" w:hAnsi="Times New Roman" w:cs="Times New Roman"/>
          <w:b/>
          <w:highlight w:val="none"/>
        </w:rPr>
        <w:t xml:space="preserve"> </w:t>
      </w:r>
      <w:r>
        <w:rPr>
          <w:rFonts w:hint="eastAsia" w:eastAsia="宋体" w:cs="Times New Roman"/>
          <w:b/>
          <w:highlight w:val="none"/>
          <w:lang w:val="en-US" w:eastAsia="zh-CN"/>
        </w:rPr>
        <w:t>Type 1 LP-WUR</w:t>
      </w:r>
    </w:p>
    <w:tbl>
      <w:tblPr>
        <w:tblStyle w:val="17"/>
        <w:tblW w:w="7656" w:type="dxa"/>
        <w:jc w:val="center"/>
        <w:tblLayout w:type="autofit"/>
        <w:tblCellMar>
          <w:top w:w="0" w:type="dxa"/>
          <w:left w:w="0" w:type="dxa"/>
          <w:bottom w:w="0" w:type="dxa"/>
          <w:right w:w="0" w:type="dxa"/>
        </w:tblCellMar>
      </w:tblPr>
      <w:tblGrid>
        <w:gridCol w:w="2803"/>
        <w:gridCol w:w="4853"/>
      </w:tblGrid>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b w:val="0"/>
                <w:bCs/>
                <w:highlight w:val="yellow"/>
                <w:lang w:val="en-US" w:eastAsia="zh-CN"/>
              </w:rPr>
            </w:pPr>
            <w:r>
              <w:rPr>
                <w:rFonts w:ascii="Arial" w:hAnsi="Arial"/>
                <w:b w:val="0"/>
                <w:bCs w:val="0"/>
                <w:sz w:val="18"/>
                <w:highlight w:val="none"/>
              </w:rPr>
              <w:t>REFSENS</w:t>
            </w:r>
            <w:r>
              <w:rPr>
                <w:rFonts w:hint="eastAsia"/>
                <w:b w:val="0"/>
                <w:bCs/>
                <w:highlight w:val="none"/>
                <w:vertAlign w:val="subscript"/>
                <w:lang w:val="en-US" w:eastAsia="zh-CN"/>
              </w:rPr>
              <w:t>Type1_LR</w:t>
            </w:r>
            <w:r>
              <w:rPr>
                <w:rFonts w:ascii="Arial" w:hAnsi="Arial"/>
                <w:b w:val="0"/>
                <w:bCs w:val="0"/>
                <w:sz w:val="18"/>
                <w:highlight w:val="none"/>
              </w:rPr>
              <w:t xml:space="preserve"> + </w:t>
            </w:r>
            <w:r>
              <w:rPr>
                <w:rFonts w:hint="eastAsia"/>
                <w:b w:val="0"/>
                <w:bCs w:val="0"/>
                <w:sz w:val="18"/>
                <w:highlight w:val="none"/>
                <w:lang w:val="en-US" w:eastAsia="zh-CN"/>
              </w:rPr>
              <w:t>15dB</w:t>
            </w:r>
          </w:p>
        </w:tc>
      </w:tr>
      <w:tr>
        <w:tblPrEx>
          <w:tblCellMar>
            <w:top w:w="0" w:type="dxa"/>
            <w:left w:w="0" w:type="dxa"/>
            <w:bottom w:w="0" w:type="dxa"/>
            <w:right w:w="0" w:type="dxa"/>
          </w:tblCellMar>
        </w:tblPrEx>
        <w:trPr>
          <w:jc w:val="center"/>
        </w:trPr>
        <w:tc>
          <w:tcPr>
            <w:tcW w:w="7656" w:type="dxa"/>
            <w:gridSpan w:val="2"/>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b w:val="0"/>
                <w:bCs w:val="0"/>
                <w:sz w:val="18"/>
                <w:highlight w:val="none"/>
              </w:rPr>
            </w:pPr>
            <w:r>
              <w:rPr>
                <w:rFonts w:hint="eastAsia"/>
                <w:b w:val="0"/>
                <w:bCs/>
                <w:highlight w:val="none"/>
                <w:lang w:val="en-US" w:eastAsia="zh-CN"/>
              </w:rPr>
              <w:t xml:space="preserve">NOTE 1: </w:t>
            </w:r>
            <w:r>
              <w:rPr>
                <w:b w:val="0"/>
                <w:bCs/>
              </w:rPr>
              <w:t xml:space="preserve">LP-WUS is configured at the </w:t>
            </w:r>
            <w:r>
              <w:rPr>
                <w:rFonts w:hint="eastAsia"/>
                <w:b w:val="0"/>
                <w:bCs/>
                <w:lang w:val="en-US" w:eastAsia="zh-CN"/>
              </w:rPr>
              <w:t>closest edge from the interferer</w:t>
            </w:r>
            <w:r>
              <w:rPr>
                <w:b w:val="0"/>
                <w:bCs/>
              </w:rPr>
              <w:t xml:space="preserve"> of the NR carrier</w:t>
            </w:r>
            <w:r>
              <w:rPr>
                <w:rFonts w:hint="eastAsia"/>
                <w:b w:val="0"/>
                <w:bCs/>
                <w:lang w:val="en-US" w:eastAsia="zh-CN"/>
              </w:rPr>
              <w:t xml:space="preserve"> without adjacent </w:t>
            </w:r>
            <w:bookmarkStart w:id="0" w:name="_GoBack"/>
            <w:r>
              <w:rPr>
                <w:rFonts w:hint="eastAsia"/>
                <w:b w:val="0"/>
                <w:bCs/>
                <w:lang w:val="en-US" w:eastAsia="zh-CN"/>
              </w:rPr>
              <w:t>sub-carrier interference</w:t>
            </w:r>
            <w:bookmarkEnd w:id="0"/>
            <w:r>
              <w:rPr>
                <w:b w:val="0"/>
                <w:bCs/>
              </w:rP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2-2 </w:t>
      </w:r>
      <w:r>
        <w:rPr>
          <w:rFonts w:hint="default" w:ascii="Times New Roman" w:hAnsi="Times New Roman" w:cs="Times New Roman"/>
          <w:b/>
        </w:rPr>
        <w:t xml:space="preserve"> Out-of-band blocking parameters for</w:t>
      </w:r>
      <w:r>
        <w:rPr>
          <w:rFonts w:hint="default" w:ascii="Times New Roman" w:hAnsi="Times New Roman" w:cs="Times New Roman"/>
          <w:b/>
          <w:highlight w:val="none"/>
        </w:rPr>
        <w:t xml:space="preserve"> </w:t>
      </w:r>
      <w:r>
        <w:rPr>
          <w:rFonts w:hint="eastAsia" w:eastAsia="宋体" w:cs="Times New Roman"/>
          <w:b/>
          <w:highlight w:val="none"/>
          <w:lang w:val="en-US" w:eastAsia="zh-CN"/>
        </w:rPr>
        <w:t>Type 2 LP-WUR</w:t>
      </w:r>
    </w:p>
    <w:tbl>
      <w:tblPr>
        <w:tblStyle w:val="17"/>
        <w:tblW w:w="7656" w:type="dxa"/>
        <w:jc w:val="center"/>
        <w:tblLayout w:type="autofit"/>
        <w:tblCellMar>
          <w:top w:w="0" w:type="dxa"/>
          <w:left w:w="0" w:type="dxa"/>
          <w:bottom w:w="0" w:type="dxa"/>
          <w:right w:w="0" w:type="dxa"/>
        </w:tblCellMar>
      </w:tblPr>
      <w:tblGrid>
        <w:gridCol w:w="2803"/>
        <w:gridCol w:w="4853"/>
      </w:tblGrid>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lang w:val="en-US" w:eastAsia="zh-CN"/>
              </w:rPr>
            </w:pPr>
            <w:r>
              <w:rPr>
                <w:rFonts w:hint="eastAsia" w:ascii="Arial" w:hAnsi="Arial"/>
                <w:b/>
                <w:sz w:val="18"/>
                <w:lang w:val="en-US" w:eastAsia="zh-CN"/>
              </w:rPr>
              <w:t xml:space="preserve">WUS transmission bandwidth configuration </w:t>
            </w:r>
            <w:r>
              <w:rPr>
                <w:rFonts w:ascii="Arial" w:hAnsi="Arial"/>
                <w:b/>
                <w:sz w:val="18"/>
              </w:rPr>
              <w:t>(</w:t>
            </w:r>
            <w:r>
              <w:rPr>
                <w:rFonts w:hint="eastAsia" w:ascii="Arial" w:hAnsi="Arial"/>
                <w:b/>
                <w:sz w:val="18"/>
                <w:lang w:val="en-US" w:eastAsia="zh-CN"/>
              </w:rPr>
              <w:t>RB</w:t>
            </w:r>
            <w:r>
              <w:rPr>
                <w:rFonts w:ascii="Arial" w:hAnsi="Arial"/>
                <w:b/>
                <w:sz w:val="18"/>
              </w:rPr>
              <w:t>)</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lang w:val="en-US"/>
              </w:rPr>
            </w:pPr>
            <w:r>
              <w:rPr>
                <w:lang w:val="en-US"/>
              </w:rPr>
              <w:t xml:space="preserve">Power in </w:t>
            </w:r>
            <w:r>
              <w:rPr>
                <w:rFonts w:hint="eastAsia"/>
                <w:lang w:val="en-US" w:eastAsia="zh-CN"/>
              </w:rPr>
              <w:t xml:space="preserve">LP-WUS </w:t>
            </w:r>
            <w:r>
              <w:rPr>
                <w:lang w:val="en-US"/>
              </w:rPr>
              <w:t>transmission bandwidth configuration [dBm]</w:t>
            </w:r>
          </w:p>
        </w:tc>
      </w:tr>
      <w:tr>
        <w:tblPrEx>
          <w:tblCellMar>
            <w:top w:w="0" w:type="dxa"/>
            <w:left w:w="0" w:type="dxa"/>
            <w:bottom w:w="0" w:type="dxa"/>
            <w:right w:w="0" w:type="dxa"/>
          </w:tblCellMar>
        </w:tblPrEx>
        <w:trPr>
          <w:jc w:val="center"/>
        </w:trPr>
        <w:tc>
          <w:tcPr>
            <w:tcW w:w="280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b w:val="0"/>
                <w:bCs/>
                <w:lang w:val="en-US"/>
              </w:rPr>
            </w:pPr>
            <w:r>
              <w:rPr>
                <w:rFonts w:hint="eastAsia" w:ascii="Arial" w:hAnsi="Arial"/>
                <w:b/>
                <w:sz w:val="18"/>
                <w:lang w:val="en-US" w:eastAsia="zh-CN"/>
              </w:rPr>
              <w:t>11RB</w:t>
            </w:r>
          </w:p>
        </w:tc>
        <w:tc>
          <w:tcPr>
            <w:tcW w:w="4853" w:type="dxa"/>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textAlignment w:val="auto"/>
              <w:rPr>
                <w:rFonts w:hint="default" w:eastAsia="宋体"/>
                <w:b w:val="0"/>
                <w:bCs/>
                <w:highlight w:val="yellow"/>
                <w:lang w:val="en-US" w:eastAsia="zh-CN"/>
              </w:rPr>
            </w:pPr>
            <w:r>
              <w:rPr>
                <w:rFonts w:ascii="Arial" w:hAnsi="Arial"/>
                <w:b w:val="0"/>
                <w:bCs w:val="0"/>
                <w:sz w:val="18"/>
                <w:highlight w:val="none"/>
              </w:rPr>
              <w:t>REFSENS</w:t>
            </w:r>
            <w:r>
              <w:rPr>
                <w:rFonts w:hint="eastAsia"/>
                <w:b w:val="0"/>
                <w:bCs w:val="0"/>
                <w:highlight w:val="none"/>
                <w:vertAlign w:val="subscript"/>
                <w:lang w:val="en-US" w:eastAsia="zh-CN"/>
              </w:rPr>
              <w:t>Type2_L</w:t>
            </w:r>
            <w:r>
              <w:rPr>
                <w:rFonts w:hint="eastAsia"/>
                <w:b w:val="0"/>
                <w:bCs/>
                <w:highlight w:val="none"/>
                <w:vertAlign w:val="subscript"/>
                <w:lang w:val="en-US" w:eastAsia="zh-CN"/>
              </w:rPr>
              <w:t>R</w:t>
            </w:r>
            <w:r>
              <w:rPr>
                <w:rFonts w:ascii="Arial" w:hAnsi="Arial"/>
                <w:b w:val="0"/>
                <w:bCs w:val="0"/>
                <w:sz w:val="18"/>
                <w:highlight w:val="none"/>
              </w:rPr>
              <w:t xml:space="preserve"> + </w:t>
            </w:r>
            <w:r>
              <w:rPr>
                <w:rFonts w:hint="eastAsia"/>
                <w:b w:val="0"/>
                <w:bCs w:val="0"/>
                <w:sz w:val="18"/>
                <w:highlight w:val="none"/>
                <w:lang w:val="en-US" w:eastAsia="zh-CN"/>
              </w:rPr>
              <w:t>9dB</w:t>
            </w:r>
          </w:p>
        </w:tc>
      </w:tr>
      <w:tr>
        <w:tblPrEx>
          <w:tblCellMar>
            <w:top w:w="0" w:type="dxa"/>
            <w:left w:w="0" w:type="dxa"/>
            <w:bottom w:w="0" w:type="dxa"/>
            <w:right w:w="0" w:type="dxa"/>
          </w:tblCellMar>
        </w:tblPrEx>
        <w:trPr>
          <w:jc w:val="center"/>
        </w:trPr>
        <w:tc>
          <w:tcPr>
            <w:tcW w:w="7656" w:type="dxa"/>
            <w:gridSpan w:val="2"/>
            <w:tcBorders>
              <w:top w:val="single" w:color="auto" w:sz="2" w:space="0"/>
              <w:left w:val="single" w:color="auto" w:sz="2" w:space="0"/>
              <w:bottom w:val="single" w:color="auto" w:sz="2" w:space="0"/>
              <w:right w:val="single" w:color="auto" w:sz="2" w:space="0"/>
            </w:tcBorders>
            <w:tcMar>
              <w:top w:w="0" w:type="dxa"/>
              <w:left w:w="108" w:type="dxa"/>
              <w:bottom w:w="0" w:type="dxa"/>
              <w:right w:w="108" w:type="dxa"/>
            </w:tcMar>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b w:val="0"/>
                <w:bCs w:val="0"/>
                <w:sz w:val="18"/>
                <w:highlight w:val="none"/>
              </w:rPr>
            </w:pPr>
            <w:r>
              <w:rPr>
                <w:rFonts w:hint="eastAsia"/>
                <w:b w:val="0"/>
                <w:bCs/>
                <w:highlight w:val="none"/>
                <w:lang w:val="en-US" w:eastAsia="zh-CN"/>
              </w:rPr>
              <w:t xml:space="preserve">NOTE 1: </w:t>
            </w:r>
            <w:r>
              <w:rPr>
                <w:b w:val="0"/>
                <w:bCs/>
                <w:highlight w:val="none"/>
              </w:rPr>
              <w:t xml:space="preserve">LP-WUS is configured at the </w:t>
            </w:r>
            <w:r>
              <w:rPr>
                <w:rFonts w:hint="eastAsia"/>
                <w:b w:val="0"/>
                <w:bCs/>
                <w:highlight w:val="none"/>
                <w:lang w:val="en-US" w:eastAsia="zh-CN"/>
              </w:rPr>
              <w:t>closest edge from the interferer</w:t>
            </w:r>
            <w:r>
              <w:rPr>
                <w:b w:val="0"/>
                <w:bCs/>
                <w:highlight w:val="none"/>
              </w:rPr>
              <w:t xml:space="preserve"> of the NR carrier</w:t>
            </w:r>
            <w:r>
              <w:rPr>
                <w:rFonts w:hint="eastAsia"/>
                <w:b w:val="0"/>
                <w:bCs/>
                <w:highlight w:val="none"/>
                <w:lang w:val="en-US" w:eastAsia="zh-CN"/>
              </w:rPr>
              <w:t xml:space="preserve"> without adjacent sub-carrier interference</w:t>
            </w:r>
            <w:r>
              <w:rPr>
                <w:b w:val="0"/>
                <w:bCs/>
                <w:highlight w:val="none"/>
              </w:rP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eastAsia" w:ascii="Times New Roman" w:hAnsi="Times New Roman" w:cs="Times New Roman"/>
          <w:b/>
          <w:lang w:val="en-US" w:eastAsia="zh-CN"/>
        </w:rPr>
        <w:t>T</w:t>
      </w:r>
      <w:r>
        <w:rPr>
          <w:rFonts w:hint="default" w:ascii="Times New Roman" w:hAnsi="Times New Roman" w:cs="Times New Roman"/>
          <w:b/>
        </w:rPr>
        <w:t xml:space="preserve">able </w:t>
      </w:r>
      <w:r>
        <w:rPr>
          <w:rFonts w:hint="eastAsia" w:eastAsia="宋体" w:cs="Times New Roman"/>
          <w:b/>
          <w:lang w:val="en-US" w:eastAsia="zh-CN"/>
        </w:rPr>
        <w:t xml:space="preserve">2-3 </w:t>
      </w:r>
      <w:r>
        <w:rPr>
          <w:rFonts w:hint="default" w:ascii="Times New Roman" w:hAnsi="Times New Roman" w:cs="Times New Roman"/>
          <w:b/>
        </w:rPr>
        <w:t xml:space="preserve"> Out of-band blocking for </w:t>
      </w:r>
      <w:r>
        <w:rPr>
          <w:rFonts w:hint="eastAsia" w:eastAsia="宋体" w:cs="Times New Roman"/>
          <w:b/>
          <w:lang w:val="en-US" w:eastAsia="zh-CN"/>
        </w:rPr>
        <w:t>LP-WUR</w:t>
      </w:r>
    </w:p>
    <w:tbl>
      <w:tblPr>
        <w:tblStyle w:val="17"/>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799"/>
        <w:gridCol w:w="1938"/>
        <w:gridCol w:w="1938"/>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Parameter</w:t>
            </w:r>
          </w:p>
        </w:tc>
        <w:tc>
          <w:tcPr>
            <w:tcW w:w="799"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Unit</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1</w:t>
            </w:r>
          </w:p>
        </w:tc>
        <w:tc>
          <w:tcPr>
            <w:tcW w:w="1938"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2</w:t>
            </w:r>
          </w:p>
        </w:tc>
        <w:tc>
          <w:tcPr>
            <w:tcW w:w="2152" w:type="dxa"/>
          </w:tcPr>
          <w:p>
            <w:pPr>
              <w:pStyle w:val="34"/>
              <w:keepNext/>
              <w:keepLines/>
              <w:pageBreakBefore w:val="0"/>
              <w:widowControl/>
              <w:kinsoku/>
              <w:wordWrap/>
              <w:overflowPunct/>
              <w:topLinePunct w:val="0"/>
              <w:autoSpaceDE/>
              <w:autoSpaceDN/>
              <w:bidi w:val="0"/>
              <w:adjustRightInd/>
              <w:snapToGrid w:val="0"/>
              <w:spacing w:after="0" w:line="240" w:lineRule="auto"/>
              <w:textAlignment w:val="auto"/>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P</w:t>
            </w:r>
            <w:r>
              <w:rPr>
                <w:vertAlign w:val="subscript"/>
                <w:lang w:val="sv-SE"/>
              </w:rPr>
              <w:t>interferer</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dBm</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-44</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-30</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hint="eastAsia" w:eastAsia="宋体"/>
                <w:highlight w:val="none"/>
                <w:lang w:val="en-US" w:eastAsia="zh-CN"/>
              </w:rPr>
            </w:pPr>
            <w:r>
              <w:rPr>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87" w:type="dxa"/>
            <w:shd w:val="clear" w:color="auto" w:fill="auto"/>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F</w:t>
            </w:r>
            <w:r>
              <w:rPr>
                <w:vertAlign w:val="subscript"/>
                <w:lang w:val="sv-SE"/>
              </w:rPr>
              <w:t>interferer</w:t>
            </w:r>
            <w:r>
              <w:rPr>
                <w:lang w:val="sv-SE"/>
              </w:rPr>
              <w:t xml:space="preserve"> (CW)</w:t>
            </w:r>
          </w:p>
        </w:tc>
        <w:tc>
          <w:tcPr>
            <w:tcW w:w="799"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lang w:val="sv-SE"/>
              </w:rPr>
            </w:pPr>
            <w:r>
              <w:rPr>
                <w:lang w:val="sv-SE"/>
              </w:rPr>
              <w:t>MHz</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&lt; f </w:t>
            </w:r>
            <w:r>
              <w:rPr>
                <w:rFonts w:hint="eastAsia" w:cs="Arial"/>
                <w:lang w:val="en-US" w:eastAsia="zh-CN"/>
              </w:rPr>
              <w:t>-</w:t>
            </w:r>
            <w:r>
              <w:rPr>
                <w:rFonts w:cs="Arial"/>
              </w:rPr>
              <w:t xml:space="preserve"> F</w:t>
            </w:r>
            <w:r>
              <w:rPr>
                <w:rFonts w:cs="Arial"/>
                <w:vertAlign w:val="subscript"/>
              </w:rPr>
              <w:t>DL_low</w:t>
            </w:r>
            <w:r>
              <w:rPr>
                <w:rFonts w:cs="Arial"/>
              </w:rPr>
              <w:t xml:space="preserve"> &lt; -15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15 &lt; f </w:t>
            </w:r>
            <w:r>
              <w:rPr>
                <w:rFonts w:hint="eastAsia" w:cs="Arial"/>
                <w:lang w:val="en-US" w:eastAsia="zh-CN"/>
              </w:rPr>
              <w:t>-</w:t>
            </w:r>
            <w:r>
              <w:rPr>
                <w:rFonts w:cs="Arial"/>
              </w:rPr>
              <w:t xml:space="preserve"> F</w:t>
            </w:r>
            <w:r>
              <w:rPr>
                <w:rFonts w:cs="Arial"/>
                <w:vertAlign w:val="subscript"/>
              </w:rPr>
              <w:t>DL_high</w:t>
            </w:r>
            <w:r>
              <w:rPr>
                <w:rFonts w:cs="Arial"/>
              </w:rPr>
              <w:t xml:space="preserve"> &lt; 60</w:t>
            </w:r>
          </w:p>
        </w:tc>
        <w:tc>
          <w:tcPr>
            <w:tcW w:w="1938"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-85 &lt; f </w:t>
            </w:r>
            <w:r>
              <w:rPr>
                <w:rFonts w:hint="eastAsia" w:cs="Arial"/>
                <w:lang w:val="en-US" w:eastAsia="zh-CN"/>
              </w:rPr>
              <w:t>-</w:t>
            </w:r>
            <w:r>
              <w:rPr>
                <w:rFonts w:cs="Arial"/>
              </w:rPr>
              <w:t xml:space="preserve"> F</w:t>
            </w:r>
            <w:r>
              <w:rPr>
                <w:rFonts w:cs="Arial"/>
                <w:vertAlign w:val="subscript"/>
              </w:rPr>
              <w:t>DL_low</w:t>
            </w:r>
            <w:r>
              <w:rPr>
                <w:rFonts w:cs="Arial"/>
              </w:rPr>
              <w:t xml:space="preserve"> ≤ -60</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 xml:space="preserve">60 ≤ f </w:t>
            </w:r>
            <w:r>
              <w:rPr>
                <w:rFonts w:hint="eastAsia" w:cs="Arial"/>
                <w:lang w:val="en-US" w:eastAsia="zh-CN"/>
              </w:rPr>
              <w:t>-</w:t>
            </w:r>
            <w:r>
              <w:rPr>
                <w:rFonts w:cs="Arial"/>
              </w:rPr>
              <w:t>F</w:t>
            </w:r>
            <w:r>
              <w:rPr>
                <w:rFonts w:cs="Arial"/>
                <w:vertAlign w:val="subscript"/>
              </w:rPr>
              <w:t>DL_high</w:t>
            </w:r>
            <w:r>
              <w:rPr>
                <w:rFonts w:cs="Arial"/>
              </w:rPr>
              <w:t xml:space="preserve"> &lt; 85</w:t>
            </w:r>
          </w:p>
        </w:tc>
        <w:tc>
          <w:tcPr>
            <w:tcW w:w="2152" w:type="dxa"/>
          </w:tcPr>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1 ≤ f ≤ F</w:t>
            </w:r>
            <w:r>
              <w:rPr>
                <w:rFonts w:cs="Arial"/>
                <w:vertAlign w:val="subscript"/>
              </w:rPr>
              <w:t>DL_low</w:t>
            </w:r>
            <w:r>
              <w:rPr>
                <w:rFonts w:cs="Arial"/>
              </w:rPr>
              <w:t xml:space="preserve"> </w:t>
            </w:r>
            <w:r>
              <w:rPr>
                <w:rFonts w:hint="eastAsia" w:cs="Arial"/>
                <w:lang w:val="en-US" w:eastAsia="zh-CN"/>
              </w:rPr>
              <w:t>-</w:t>
            </w:r>
            <w:r>
              <w:rPr>
                <w:rFonts w:cs="Arial"/>
              </w:rPr>
              <w:t>85</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or</w:t>
            </w:r>
          </w:p>
          <w:p>
            <w:pPr>
              <w:pStyle w:val="35"/>
              <w:keepNext/>
              <w:keepLines/>
              <w:pageBreakBefore w:val="0"/>
              <w:widowControl/>
              <w:kinsoku/>
              <w:wordWrap/>
              <w:overflowPunct/>
              <w:topLinePunct w:val="0"/>
              <w:autoSpaceDE/>
              <w:autoSpaceDN/>
              <w:bidi w:val="0"/>
              <w:adjustRightInd/>
              <w:snapToGrid w:val="0"/>
              <w:spacing w:after="0" w:line="240" w:lineRule="auto"/>
              <w:textAlignment w:val="auto"/>
              <w:rPr>
                <w:rFonts w:cs="Arial"/>
              </w:rPr>
            </w:pPr>
            <w:r>
              <w:rPr>
                <w:rFonts w:cs="Arial"/>
              </w:rPr>
              <w:t>F</w:t>
            </w:r>
            <w:r>
              <w:rPr>
                <w:rFonts w:cs="Arial"/>
                <w:vertAlign w:val="subscript"/>
              </w:rPr>
              <w:t>DL_high</w:t>
            </w:r>
            <w:r>
              <w:rPr>
                <w:rFonts w:cs="Arial"/>
              </w:rPr>
              <w:t xml:space="preserve"> + 85 ≤ f</w:t>
            </w:r>
            <w:r>
              <w:rPr>
                <w:rFonts w:hint="eastAsia" w:cs="Arial"/>
                <w:lang w:val="en-US" w:eastAsia="zh-CN"/>
              </w:rPr>
              <w:t xml:space="preserve"> </w:t>
            </w:r>
            <w:r>
              <w:rPr>
                <w:rFonts w:cs="Arial"/>
              </w:rPr>
              <w:t>≤ 12750</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 Intermodulation Requirements</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r>
        <w:rPr>
          <w:rFonts w:hint="eastAsia" w:cs="Times New Roman"/>
          <w:b w:val="0"/>
          <w:bCs w:val="0"/>
          <w:i w:val="0"/>
          <w:iCs w:val="0"/>
          <w:sz w:val="20"/>
          <w:szCs w:val="20"/>
          <w:highlight w:val="none"/>
          <w:lang w:val="en-US" w:eastAsia="zh-CN"/>
        </w:rPr>
        <w:t>The wide band intermodulation requirement is defined using a CW carrier and modulated NR signal as interferer 1 and interferer 2 respectively in TS38.101-1. The missed detection rate shall be ≤1% under these assumptions. Similar to the discussion in Section 2.2, bandwidth of the interferer should be 5MHz and WUS should be located at edge of the NR carrier. Same as IBB and OBB, we prefer to use the same interference level as MR and add further relaxation for LP-WUR based on legacy REFSENS+6dB.</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2: Consider the test parameters for intermodulation of LP-WUR in Table 3-1 and 3-2.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3-1</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for</w:t>
      </w:r>
      <w:r>
        <w:rPr>
          <w:rFonts w:hint="eastAsia" w:cs="Times New Roman"/>
          <w:b/>
          <w:lang w:val="en-US" w:eastAsia="zh-CN"/>
        </w:rPr>
        <w:t xml:space="preserve"> </w:t>
      </w:r>
      <w:r>
        <w:rPr>
          <w:rFonts w:hint="eastAsia" w:eastAsia="宋体" w:cs="Times New Roman"/>
          <w:b/>
          <w:highlight w:val="none"/>
          <w:lang w:val="en-US" w:eastAsia="zh-CN"/>
        </w:rPr>
        <w:t>Type 1</w:t>
      </w:r>
      <w:r>
        <w:rPr>
          <w:rFonts w:hint="eastAsia" w:cs="Times New Roman"/>
          <w:b/>
          <w:lang w:val="en-US" w:eastAsia="zh-CN"/>
        </w:rPr>
        <w:t xml:space="preserve"> </w:t>
      </w:r>
      <w:r>
        <w:rPr>
          <w:rFonts w:hint="default" w:ascii="Times New Roman" w:hAnsi="Times New Roman" w:cs="Times New Roman"/>
          <w:b/>
          <w:lang w:val="en-US" w:eastAsia="zh-CN"/>
        </w:rPr>
        <w:t>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ascii="Arial" w:hAnsi="Arial"/>
                <w:sz w:val="18"/>
                <w:highlight w:val="none"/>
              </w:rPr>
              <w:t>REFSENS</w:t>
            </w:r>
            <w:r>
              <w:rPr>
                <w:rFonts w:hint="eastAsia"/>
                <w:highlight w:val="none"/>
                <w:vertAlign w:val="subscript"/>
                <w:lang w:val="en-US" w:eastAsia="zh-CN"/>
              </w:rPr>
              <w:t>Type1_LR</w:t>
            </w:r>
            <w:r>
              <w:rPr>
                <w:rFonts w:ascii="Arial" w:hAnsi="Arial"/>
                <w:sz w:val="18"/>
                <w:highlight w:val="none"/>
              </w:rPr>
              <w:t xml:space="preserve"> + </w:t>
            </w:r>
            <w:r>
              <w:rPr>
                <w:rFonts w:hint="eastAsia"/>
                <w:sz w:val="18"/>
                <w:highlight w:val="none"/>
                <w:lang w:val="en-US" w:eastAsia="zh-CN"/>
              </w:rPr>
              <w:t>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/2 – 7.5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lang w:val="en-US" w:eastAsia="zh-CN"/>
              </w:rPr>
            </w:pPr>
            <w:r>
              <w:rPr>
                <w:rFonts w:hint="eastAsia"/>
                <w:highlight w:val="none"/>
                <w:lang w:val="en-US" w:eastAsia="zh-CN"/>
              </w:rPr>
              <w:t xml:space="preserve">NOTE 1: </w:t>
            </w:r>
            <w:r>
              <w:t xml:space="preserve">LP-WUS is configured at the </w:t>
            </w:r>
            <w:r>
              <w:rPr>
                <w:rFonts w:hint="eastAsia"/>
                <w:lang w:val="en-US" w:eastAsia="zh-CN"/>
              </w:rPr>
              <w:t>center</w:t>
            </w:r>
            <w:r>
              <w:t xml:space="preserve"> of the NR carrier</w:t>
            </w:r>
            <w:r>
              <w:rPr>
                <w:rFonts w:hint="eastAsia"/>
                <w:lang w:val="en-US" w:eastAsia="zh-CN"/>
              </w:rPr>
              <w:t xml:space="preserve"> without adjacent sub-carrier interference</w:t>
            </w:r>
            <w: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3-2</w:t>
      </w:r>
      <w:r>
        <w:rPr>
          <w:rFonts w:hint="default" w:ascii="Times New Roman" w:hAnsi="Times New Roman" w:cs="Times New Roman"/>
          <w:b/>
          <w:lang w:val="en-US" w:eastAsia="zh-CN"/>
        </w:rPr>
        <w:t xml:space="preserve"> </w:t>
      </w:r>
      <w:r>
        <w:rPr>
          <w:rFonts w:hint="default" w:ascii="Times New Roman" w:hAnsi="Times New Roman" w:cs="Times New Roman"/>
          <w:b/>
        </w:rPr>
        <w:t xml:space="preserve"> Wide band intermodulation parameters </w:t>
      </w:r>
      <w:r>
        <w:rPr>
          <w:rFonts w:hint="default" w:ascii="Times New Roman" w:hAnsi="Times New Roman" w:cs="Times New Roman"/>
          <w:b/>
          <w:lang w:val="en-US" w:eastAsia="zh-CN"/>
        </w:rPr>
        <w:t xml:space="preserve">for </w:t>
      </w:r>
      <w:r>
        <w:rPr>
          <w:rFonts w:hint="eastAsia" w:eastAsia="宋体" w:cs="Times New Roman"/>
          <w:b/>
          <w:highlight w:val="none"/>
          <w:lang w:val="en-US" w:eastAsia="zh-CN"/>
        </w:rPr>
        <w:t>Type 2</w:t>
      </w:r>
      <w:r>
        <w:rPr>
          <w:rFonts w:hint="eastAsia" w:cs="Times New Roman"/>
          <w:b/>
          <w:lang w:val="en-US" w:eastAsia="zh-CN"/>
        </w:rPr>
        <w:t xml:space="preserve"> </w:t>
      </w:r>
      <w:r>
        <w:rPr>
          <w:rFonts w:hint="default" w:ascii="Times New Roman" w:hAnsi="Times New Roman" w:cs="Times New Roman"/>
          <w:b/>
          <w:lang w:val="en-US" w:eastAsia="zh-CN"/>
        </w:rPr>
        <w:t>LP-WUR</w:t>
      </w:r>
    </w:p>
    <w:tbl>
      <w:tblPr>
        <w:tblStyle w:val="1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5"/>
        <w:gridCol w:w="705"/>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87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Rx parameter</w:t>
            </w:r>
          </w:p>
        </w:tc>
        <w:tc>
          <w:tcPr>
            <w:tcW w:w="705" w:type="dxa"/>
            <w:vMerge w:val="restart"/>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Units</w:t>
            </w: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lang w:val="en-US" w:eastAsia="zh-CN"/>
              </w:rPr>
            </w:pPr>
            <w:r>
              <w:rPr>
                <w:rFonts w:hint="eastAsia"/>
                <w:highlight w:val="none"/>
                <w:lang w:val="en-US" w:eastAsia="zh-CN"/>
              </w:rPr>
              <w:t xml:space="preserve">LP-WUS transmission bandwidth configuration </w:t>
            </w:r>
            <w:r>
              <w:rPr>
                <w:highlight w:val="none"/>
              </w:rPr>
              <w:t>(</w:t>
            </w:r>
            <w:r>
              <w:rPr>
                <w:rFonts w:hint="eastAsia"/>
                <w:highlight w:val="none"/>
                <w:lang w:val="en-US" w:eastAsia="zh-CN"/>
              </w:rPr>
              <w:t>RB</w:t>
            </w:r>
            <w:r>
              <w:rPr>
                <w:highlight w:val="none"/>
              </w:rPr>
              <w:t>)</w:t>
            </w:r>
            <w:r>
              <w:rPr>
                <w:rFonts w:hint="eastAsia"/>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87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705" w:type="dxa"/>
            <w:vMerge w:val="continue"/>
            <w:tcBorders>
              <w:bottom w:val="single" w:color="auto" w:sz="4" w:space="0"/>
            </w:tcBorders>
            <w:shd w:val="clear" w:color="auto" w:fill="auto"/>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p>
        </w:tc>
        <w:tc>
          <w:tcPr>
            <w:tcW w:w="4777"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lang w:val="en-US" w:eastAsia="zh-CN"/>
              </w:rPr>
            </w:pPr>
            <w:r>
              <w:rPr>
                <w:rFonts w:hint="eastAsia"/>
                <w:sz w:val="18"/>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287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sz w:val="18"/>
                <w:szCs w:val="18"/>
              </w:rPr>
            </w:pPr>
            <w:r>
              <w:rPr>
                <w:sz w:val="18"/>
                <w:szCs w:val="18"/>
              </w:rPr>
              <w:t>P</w:t>
            </w:r>
            <w:r>
              <w:rPr>
                <w:sz w:val="18"/>
                <w:szCs w:val="18"/>
                <w:vertAlign w:val="subscript"/>
              </w:rPr>
              <w:t>w</w:t>
            </w:r>
            <w:r>
              <w:rPr>
                <w:sz w:val="18"/>
                <w:szCs w:val="18"/>
              </w:rPr>
              <w:t xml:space="preserve"> in </w:t>
            </w:r>
            <w:r>
              <w:rPr>
                <w:rFonts w:hint="eastAsia"/>
                <w:sz w:val="18"/>
                <w:szCs w:val="18"/>
                <w:lang w:val="en-US" w:eastAsia="zh-CN"/>
              </w:rPr>
              <w:t xml:space="preserve">LP-WUS </w:t>
            </w:r>
            <w:r>
              <w:rPr>
                <w:sz w:val="18"/>
                <w:szCs w:val="18"/>
              </w:rPr>
              <w:t>Transmission Bandwidth Configuration, per CC</w:t>
            </w:r>
          </w:p>
        </w:tc>
        <w:tc>
          <w:tcPr>
            <w:tcW w:w="705" w:type="dxa"/>
            <w:tcBorders>
              <w:top w:val="single" w:color="auto" w:sz="4" w:space="0"/>
            </w:tcBorders>
            <w:shd w:val="clear" w:color="auto" w:fill="auto"/>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kern w:val="2"/>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rFonts w:ascii="Arial" w:hAnsi="Arial"/>
                <w:sz w:val="18"/>
                <w:highlight w:val="none"/>
              </w:rPr>
              <w:t>REFSENS</w:t>
            </w:r>
            <w:r>
              <w:rPr>
                <w:rFonts w:hint="eastAsia"/>
                <w:highlight w:val="none"/>
                <w:vertAlign w:val="subscript"/>
                <w:lang w:val="en-US" w:eastAsia="zh-CN"/>
              </w:rPr>
              <w:t>Type2_LR</w:t>
            </w:r>
            <w:r>
              <w:rPr>
                <w:rFonts w:ascii="Arial" w:hAnsi="Arial"/>
                <w:sz w:val="18"/>
                <w:highlight w:val="none"/>
              </w:rPr>
              <w:t xml:space="preserve"> + </w:t>
            </w:r>
            <w:r>
              <w:rPr>
                <w:rFonts w:hint="eastAsia"/>
                <w:sz w:val="18"/>
                <w:highlight w:val="none"/>
                <w:lang w:val="en-US"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vertAlign w:val="subscript"/>
              </w:rPr>
            </w:pPr>
            <w:r>
              <w:rPr>
                <w:sz w:val="18"/>
                <w:szCs w:val="18"/>
              </w:rPr>
              <w:t>P</w:t>
            </w:r>
            <w:r>
              <w:rPr>
                <w:sz w:val="18"/>
                <w:szCs w:val="18"/>
                <w:vertAlign w:val="subscript"/>
              </w:rPr>
              <w:t>Interferer 1</w:t>
            </w:r>
            <w:r>
              <w:rPr>
                <w:sz w:val="18"/>
                <w:szCs w:val="18"/>
              </w:rPr>
              <w:t xml:space="preserve"> (CW)</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P</w:t>
            </w:r>
            <w:r>
              <w:rPr>
                <w:sz w:val="18"/>
                <w:szCs w:val="18"/>
                <w:vertAlign w:val="subscript"/>
              </w:rPr>
              <w:t>Interferer 2</w:t>
            </w:r>
            <w:r>
              <w:rPr>
                <w:sz w:val="18"/>
                <w:szCs w:val="18"/>
              </w:rPr>
              <w:t xml:space="preserve"> (Modulated)</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dBm</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sz w:val="18"/>
                <w:szCs w:val="18"/>
                <w:highlight w:val="none"/>
                <w:lang w:val="en-US" w:eastAsia="zh-CN"/>
              </w:rPr>
            </w:pPr>
            <w:r>
              <w:rPr>
                <w:sz w:val="18"/>
                <w:szCs w:val="18"/>
                <w:highlight w:val="none"/>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BW</w:t>
            </w:r>
            <w:r>
              <w:rPr>
                <w:sz w:val="18"/>
                <w:szCs w:val="18"/>
                <w:vertAlign w:val="subscript"/>
              </w:rPr>
              <w:t>Interferer 2</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rPr>
            </w:pPr>
            <w:r>
              <w:rPr>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rPr>
                <w:sz w:val="18"/>
                <w:szCs w:val="18"/>
                <w:highlight w:val="none"/>
              </w:rPr>
              <w:t>F</w:t>
            </w:r>
            <w:r>
              <w:rPr>
                <w:sz w:val="18"/>
                <w:szCs w:val="18"/>
                <w:highlight w:val="none"/>
                <w:vertAlign w:val="subscript"/>
              </w:rPr>
              <w:t>Interferer 1</w:t>
            </w:r>
            <w:r>
              <w:rPr>
                <w:sz w:val="18"/>
                <w:szCs w:val="18"/>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sz w:val="18"/>
                <w:szCs w:val="18"/>
                <w:highlight w:val="none"/>
              </w:rPr>
            </w:pPr>
            <w:r>
              <w:rPr>
                <w:sz w:val="18"/>
                <w:szCs w:val="18"/>
                <w:highlight w:val="none"/>
              </w:rPr>
              <w:t>MHz</w:t>
            </w:r>
          </w:p>
        </w:tc>
        <w:tc>
          <w:tcPr>
            <w:tcW w:w="4777" w:type="dxa"/>
            <w:vAlign w:val="center"/>
          </w:tcPr>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-BW</w:t>
            </w:r>
            <w:r>
              <w:rPr>
                <w:vertAlign w:val="subscript"/>
              </w:rPr>
              <w:t>Channel</w:t>
            </w:r>
            <w:r>
              <w:t>/2 – 7.5</w:t>
            </w:r>
          </w:p>
          <w:p>
            <w:pPr>
              <w:pStyle w:val="35"/>
              <w:keepNext w:val="0"/>
              <w:keepLines w:val="0"/>
              <w:pageBreakBefore w:val="0"/>
              <w:widowControl/>
              <w:kinsoku/>
              <w:wordWrap/>
              <w:overflowPunct/>
              <w:topLinePunct w:val="0"/>
              <w:autoSpaceDE/>
              <w:autoSpaceDN/>
              <w:bidi w:val="0"/>
              <w:adjustRightInd/>
              <w:snapToGrid w:val="0"/>
              <w:spacing w:after="0" w:line="240" w:lineRule="auto"/>
              <w:textAlignment w:val="auto"/>
            </w:pPr>
            <w:r>
              <w:t>/</w:t>
            </w:r>
          </w:p>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18"/>
                <w:szCs w:val="18"/>
                <w:highlight w:val="none"/>
                <w:lang w:val="en-US" w:eastAsia="zh-CN"/>
              </w:rPr>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287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highlight w:val="none"/>
                <w:lang w:val="en-US" w:eastAsia="zh-CN"/>
              </w:rPr>
            </w:pPr>
            <w:r>
              <w:rPr>
                <w:highlight w:val="none"/>
              </w:rPr>
              <w:t>F</w:t>
            </w:r>
            <w:r>
              <w:rPr>
                <w:highlight w:val="none"/>
                <w:vertAlign w:val="subscript"/>
              </w:rPr>
              <w:t>Interferer 2</w:t>
            </w:r>
            <w:r>
              <w:rPr>
                <w:highlight w:val="none"/>
              </w:rPr>
              <w:t xml:space="preserve"> (Offset)</w:t>
            </w:r>
          </w:p>
        </w:tc>
        <w:tc>
          <w:tcPr>
            <w:tcW w:w="705"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highlight w:val="none"/>
              </w:rPr>
            </w:pPr>
            <w:r>
              <w:rPr>
                <w:highlight w:val="none"/>
              </w:rPr>
              <w:t>MHz</w:t>
            </w:r>
          </w:p>
        </w:tc>
        <w:tc>
          <w:tcPr>
            <w:tcW w:w="4777"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bCs/>
                <w:highlight w:val="none"/>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8357" w:type="dxa"/>
            <w:gridSpan w:val="3"/>
            <w:vAlign w:val="center"/>
          </w:tcPr>
          <w:p>
            <w:pPr>
              <w:pStyle w:val="56"/>
              <w:keepNext/>
              <w:keepLines/>
              <w:pageBreakBefore w:val="0"/>
              <w:widowControl/>
              <w:kinsoku/>
              <w:wordWrap/>
              <w:overflowPunct/>
              <w:topLinePunct w:val="0"/>
              <w:autoSpaceDE/>
              <w:autoSpaceDN/>
              <w:bidi w:val="0"/>
              <w:adjustRightInd/>
              <w:snapToGrid w:val="0"/>
              <w:spacing w:after="0" w:line="240" w:lineRule="auto"/>
              <w:textAlignment w:val="auto"/>
              <w:rPr>
                <w:rFonts w:hint="eastAsia"/>
                <w:lang w:val="en-US" w:eastAsia="zh-CN"/>
              </w:rPr>
            </w:pPr>
            <w:r>
              <w:rPr>
                <w:rFonts w:hint="eastAsia"/>
                <w:highlight w:val="none"/>
                <w:lang w:val="en-US" w:eastAsia="zh-CN"/>
              </w:rPr>
              <w:t xml:space="preserve">NOTE 1: </w:t>
            </w:r>
            <w:r>
              <w:t xml:space="preserve">LP-WUS is configured at the </w:t>
            </w:r>
            <w:r>
              <w:rPr>
                <w:rFonts w:hint="eastAsia"/>
                <w:lang w:val="en-US" w:eastAsia="zh-CN"/>
              </w:rPr>
              <w:t>center</w:t>
            </w:r>
            <w:r>
              <w:t xml:space="preserve"> of the NR carrier</w:t>
            </w:r>
            <w:r>
              <w:rPr>
                <w:rFonts w:hint="eastAsia"/>
                <w:lang w:val="en-US" w:eastAsia="zh-CN"/>
              </w:rPr>
              <w:t xml:space="preserve"> without adjacent sub-carrier interference</w:t>
            </w:r>
            <w:r>
              <w:t>.</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ascii="Arial" w:hAnsi="Arial" w:cs="Arial"/>
          <w:b/>
          <w:bCs/>
          <w:i w:val="0"/>
          <w:iCs w:val="0"/>
          <w:sz w:val="22"/>
          <w:szCs w:val="22"/>
          <w:highlight w:val="none"/>
          <w:u w:val="none"/>
          <w:lang w:val="en-US" w:eastAsia="zh-CN"/>
        </w:rPr>
      </w:pP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1"/>
        <w:rPr>
          <w:rFonts w:hint="default" w:cs="Times New Roman"/>
          <w:b w:val="0"/>
          <w:bCs w:val="0"/>
          <w:i w:val="0"/>
          <w:iCs w:val="0"/>
          <w:sz w:val="20"/>
          <w:szCs w:val="20"/>
          <w:highlight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3 Spurious Response</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Spurious response is also used to evaluate the receiver capability when there is</w:t>
      </w:r>
      <w:r>
        <w:t xml:space="preserve"> presence of an unwanted CW interfering signal</w:t>
      </w:r>
      <w:r>
        <w:rPr>
          <w:rFonts w:hint="eastAsia" w:eastAsia="宋体"/>
          <w:lang w:val="en-US" w:eastAsia="zh-CN"/>
        </w:rPr>
        <w:t xml:space="preserve"> on the frequency where </w:t>
      </w:r>
      <w:r>
        <w:rPr>
          <w:rFonts w:hint="eastAsia" w:cs="Times New Roman"/>
          <w:b w:val="0"/>
          <w:bCs w:val="0"/>
          <w:i w:val="0"/>
          <w:iCs w:val="0"/>
          <w:sz w:val="20"/>
          <w:szCs w:val="20"/>
          <w:highlight w:val="none"/>
          <w:lang w:val="en-US" w:eastAsia="zh-CN"/>
        </w:rPr>
        <w:t>out-of-band blocking limit is not met. Spurious response requirement is needed for LP-WUR. Same as IBB and OBB, , we prefer to use the same interference level as MR and add further relaxation for LP-WUR based on legacy REFSENS+6dB.</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2: Consider the test parameters for spurious response of LP-WUR in Table 4-1, 4-2 and 4-3.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4-1 </w:t>
      </w:r>
      <w:r>
        <w:rPr>
          <w:rFonts w:hint="default" w:ascii="Times New Roman" w:hAnsi="Times New Roman" w:cs="Times New Roman"/>
          <w:b/>
        </w:rPr>
        <w:t xml:space="preserve"> Spurious response parameters for </w:t>
      </w:r>
      <w:r>
        <w:rPr>
          <w:rFonts w:hint="eastAsia" w:eastAsia="宋体" w:cs="Times New Roman"/>
          <w:b/>
          <w:lang w:val="en-US" w:eastAsia="zh-CN"/>
        </w:rPr>
        <w:t>Type 1 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RB</w:t>
            </w:r>
            <w:r>
              <w:rPr>
                <w:rFonts w:ascii="Arial" w:hAnsi="Arial"/>
                <w:b/>
                <w:bCs w:val="0"/>
                <w:sz w:val="18"/>
              </w:rPr>
              <w:t>)</w:t>
            </w:r>
            <w:r>
              <w:rPr>
                <w:rFonts w:hint="eastAsia"/>
                <w:b/>
                <w:bCs w:val="0"/>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highlight w:val="none"/>
              </w:rPr>
              <w:t>REFSENS</w:t>
            </w:r>
            <w:r>
              <w:rPr>
                <w:rFonts w:hint="default" w:ascii="Arial" w:hAnsi="Arial" w:cs="Arial"/>
                <w:sz w:val="18"/>
                <w:szCs w:val="18"/>
                <w:highlight w:val="none"/>
                <w:vertAlign w:val="subscript"/>
                <w:lang w:val="en-US" w:eastAsia="zh-CN"/>
              </w:rPr>
              <w:t>Type</w:t>
            </w:r>
            <w:r>
              <w:rPr>
                <w:rFonts w:hint="eastAsia" w:ascii="Arial" w:hAnsi="Arial" w:cs="Arial"/>
                <w:sz w:val="18"/>
                <w:szCs w:val="18"/>
                <w:highlight w:val="none"/>
                <w:vertAlign w:val="subscript"/>
                <w:lang w:val="en-US" w:eastAsia="zh-CN"/>
              </w:rPr>
              <w:t>1</w:t>
            </w:r>
            <w:r>
              <w:rPr>
                <w:rFonts w:hint="default" w:ascii="Arial" w:hAnsi="Arial" w:cs="Arial"/>
                <w:sz w:val="18"/>
                <w:szCs w:val="18"/>
                <w:highlight w:val="none"/>
                <w:vertAlign w:val="subscript"/>
                <w:lang w:val="en-US" w:eastAsia="zh-CN"/>
              </w:rPr>
              <w:t>_LR</w:t>
            </w:r>
            <w:r>
              <w:rPr>
                <w:rFonts w:ascii="Arial" w:hAnsi="Arial"/>
                <w:sz w:val="18"/>
                <w:szCs w:val="18"/>
                <w:highlight w:val="none"/>
              </w:rPr>
              <w:t xml:space="preserve"> </w:t>
            </w:r>
            <w:r>
              <w:rPr>
                <w:rFonts w:ascii="Arial" w:hAnsi="Arial"/>
                <w:sz w:val="18"/>
                <w:highlight w:val="none"/>
              </w:rPr>
              <w:t>+</w:t>
            </w:r>
            <w:r>
              <w:rPr>
                <w:rFonts w:hint="eastAsia" w:ascii="Arial" w:hAnsi="Arial" w:eastAsia="宋体"/>
                <w:sz w:val="18"/>
                <w:highlight w:val="none"/>
                <w:lang w:val="en-US" w:eastAsia="zh-CN"/>
              </w:rPr>
              <w:t xml:space="preserve"> 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sz w:val="18"/>
                <w:highlight w:val="none"/>
              </w:rPr>
            </w:pPr>
            <w:r>
              <w:rPr>
                <w:rFonts w:hint="eastAsia" w:ascii="Arial" w:hAnsi="Arial" w:eastAsia="宋体" w:cs="Times New Roman"/>
                <w:sz w:val="18"/>
                <w:szCs w:val="20"/>
                <w:lang w:val="en-US" w:eastAsia="zh-CN" w:bidi="ar-SA"/>
              </w:rPr>
              <w:t xml:space="preserve">NOTE 1: </w:t>
            </w:r>
            <w:r>
              <w:rPr>
                <w:rFonts w:ascii="Arial" w:hAnsi="Arial" w:eastAsia="宋体" w:cs="Times New Roman"/>
                <w:sz w:val="18"/>
                <w:szCs w:val="20"/>
                <w:lang w:val="en-GB" w:eastAsia="en-US" w:bidi="ar-SA"/>
              </w:rPr>
              <w:t>LP-WUS is configured at</w:t>
            </w:r>
            <w:r>
              <w:rPr>
                <w:rFonts w:hint="eastAsia" w:ascii="Arial" w:hAnsi="Arial" w:eastAsia="宋体" w:cs="Times New Roman"/>
                <w:sz w:val="18"/>
                <w:szCs w:val="20"/>
                <w:lang w:val="en-US" w:eastAsia="zh-CN" w:bidi="ar-SA"/>
              </w:rPr>
              <w:t xml:space="preserve"> the</w:t>
            </w:r>
            <w:r>
              <w:rPr>
                <w:rFonts w:ascii="Arial" w:hAnsi="Arial" w:eastAsia="宋体" w:cs="Times New Roman"/>
                <w:sz w:val="18"/>
                <w:szCs w:val="20"/>
                <w:lang w:val="en-GB" w:eastAsia="en-US" w:bidi="ar-SA"/>
              </w:rPr>
              <w:t xml:space="preserve"> </w:t>
            </w:r>
            <w:r>
              <w:rPr>
                <w:rFonts w:hint="eastAsia" w:ascii="Arial" w:hAnsi="Arial" w:eastAsia="宋体" w:cs="Times New Roman"/>
                <w:sz w:val="18"/>
                <w:szCs w:val="20"/>
                <w:lang w:val="en-US" w:eastAsia="zh-CN" w:bidi="ar-SA"/>
              </w:rPr>
              <w:t>edge</w:t>
            </w:r>
            <w:r>
              <w:rPr>
                <w:rFonts w:ascii="Arial" w:hAnsi="Arial" w:eastAsia="宋体" w:cs="Times New Roman"/>
                <w:sz w:val="18"/>
                <w:szCs w:val="20"/>
                <w:lang w:val="en-GB" w:eastAsia="en-US" w:bidi="ar-SA"/>
              </w:rPr>
              <w:t xml:space="preserve"> of the NR carrier</w:t>
            </w:r>
            <w:r>
              <w:rPr>
                <w:rFonts w:hint="eastAsia" w:ascii="Arial" w:hAnsi="Arial" w:eastAsia="宋体" w:cs="Times New Roman"/>
                <w:sz w:val="18"/>
                <w:szCs w:val="20"/>
                <w:lang w:val="en-US" w:eastAsia="zh-CN" w:bidi="ar-SA"/>
              </w:rPr>
              <w:t xml:space="preserve"> without adjacent sub-carrier interference</w:t>
            </w:r>
            <w:r>
              <w:rPr>
                <w:rFonts w:ascii="Arial" w:hAnsi="Arial" w:eastAsia="宋体" w:cs="Times New Roman"/>
                <w:sz w:val="18"/>
                <w:szCs w:val="20"/>
                <w:lang w:val="en-GB" w:eastAsia="en-US" w:bidi="ar-SA"/>
              </w:rP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4-2 </w:t>
      </w:r>
      <w:r>
        <w:rPr>
          <w:rFonts w:hint="default" w:ascii="Times New Roman" w:hAnsi="Times New Roman" w:cs="Times New Roman"/>
          <w:b/>
        </w:rPr>
        <w:t xml:space="preserve"> Spurious response parameters for </w:t>
      </w:r>
      <w:r>
        <w:rPr>
          <w:rFonts w:hint="eastAsia" w:eastAsia="宋体" w:cs="Times New Roman"/>
          <w:b/>
          <w:lang w:val="en-US" w:eastAsia="zh-CN"/>
        </w:rPr>
        <w:t>Type 2 LP-WUR</w:t>
      </w:r>
    </w:p>
    <w:tbl>
      <w:tblPr>
        <w:tblStyle w:val="17"/>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9"/>
        <w:gridCol w:w="683"/>
        <w:gridCol w:w="4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RX parameter</w:t>
            </w:r>
          </w:p>
        </w:tc>
        <w:tc>
          <w:tcPr>
            <w:tcW w:w="683" w:type="dxa"/>
            <w:vMerge w:val="restart"/>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ascii="Arial" w:hAnsi="Arial"/>
                <w:b/>
                <w:sz w:val="18"/>
              </w:rPr>
              <w:t>Units</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 xml:space="preserve">LP-WUS transmission bandwidth configuration </w:t>
            </w:r>
            <w:r>
              <w:rPr>
                <w:rFonts w:ascii="Arial" w:hAnsi="Arial"/>
                <w:b/>
                <w:sz w:val="18"/>
              </w:rPr>
              <w:t>(</w:t>
            </w:r>
            <w:r>
              <w:rPr>
                <w:rFonts w:hint="eastAsia" w:ascii="Arial" w:hAnsi="Arial"/>
                <w:b/>
                <w:sz w:val="18"/>
                <w:lang w:val="en-US" w:eastAsia="zh-CN"/>
              </w:rPr>
              <w:t>R</w:t>
            </w:r>
            <w:r>
              <w:rPr>
                <w:rFonts w:hint="eastAsia" w:ascii="Arial" w:hAnsi="Arial"/>
                <w:b/>
                <w:bCs w:val="0"/>
                <w:sz w:val="18"/>
                <w:lang w:val="en-US" w:eastAsia="zh-CN"/>
              </w:rPr>
              <w:t>B</w:t>
            </w:r>
            <w:r>
              <w:rPr>
                <w:rFonts w:ascii="Arial" w:hAnsi="Arial"/>
                <w:b/>
                <w:bCs w:val="0"/>
                <w:sz w:val="18"/>
              </w:rPr>
              <w:t>)</w:t>
            </w:r>
            <w:r>
              <w:rPr>
                <w:rFonts w:hint="eastAsia"/>
                <w:b/>
                <w:bCs w:val="0"/>
                <w:highlight w:val="none"/>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vMerge w:val="continue"/>
            <w:tcBorders>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683" w:type="dxa"/>
            <w:vMerge w:val="continue"/>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b/>
                <w:sz w:val="18"/>
              </w:rPr>
            </w:pPr>
            <w:r>
              <w:rPr>
                <w:rFonts w:hint="eastAsia" w:ascii="Arial" w:hAnsi="Arial"/>
                <w:b/>
                <w:sz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59" w:type="dxa"/>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highlight w:val="none"/>
              </w:rPr>
              <w:t>Power in</w:t>
            </w:r>
            <w:r>
              <w:rPr>
                <w:rFonts w:hint="eastAsia" w:ascii="Arial" w:hAnsi="Arial" w:eastAsia="宋体"/>
                <w:sz w:val="18"/>
                <w:highlight w:val="none"/>
                <w:lang w:val="en-US" w:eastAsia="zh-CN"/>
              </w:rPr>
              <w:t xml:space="preserve"> LP-WUS</w:t>
            </w:r>
            <w:r>
              <w:rPr>
                <w:rFonts w:ascii="Arial" w:hAnsi="Arial"/>
                <w:sz w:val="18"/>
                <w:highlight w:val="none"/>
              </w:rPr>
              <w:t xml:space="preserve"> transmission bandwidth configuration</w:t>
            </w:r>
          </w:p>
        </w:tc>
        <w:tc>
          <w:tcPr>
            <w:tcW w:w="683"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ascii="Arial" w:hAnsi="Arial"/>
                <w:sz w:val="18"/>
              </w:rPr>
            </w:pPr>
            <w:r>
              <w:rPr>
                <w:rFonts w:ascii="Arial" w:hAnsi="Arial"/>
                <w:sz w:val="18"/>
              </w:rPr>
              <w:t>dBm</w:t>
            </w:r>
          </w:p>
        </w:tc>
        <w:tc>
          <w:tcPr>
            <w:tcW w:w="4868" w:type="dxa"/>
            <w:vAlign w:val="center"/>
          </w:tcPr>
          <w:p>
            <w:pPr>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default" w:ascii="Arial" w:hAnsi="Arial" w:eastAsia="宋体"/>
                <w:sz w:val="18"/>
                <w:lang w:val="en-US" w:eastAsia="zh-CN"/>
              </w:rPr>
            </w:pPr>
            <w:r>
              <w:rPr>
                <w:rFonts w:ascii="Arial" w:hAnsi="Arial"/>
                <w:sz w:val="18"/>
                <w:highlight w:val="none"/>
              </w:rPr>
              <w:t>REFSENS</w:t>
            </w:r>
            <w:r>
              <w:rPr>
                <w:rFonts w:hint="default" w:ascii="Arial" w:hAnsi="Arial" w:cs="Arial"/>
                <w:sz w:val="18"/>
                <w:szCs w:val="22"/>
                <w:highlight w:val="none"/>
                <w:vertAlign w:val="subscript"/>
                <w:lang w:val="en-US" w:eastAsia="zh-CN"/>
              </w:rPr>
              <w:t>Type2_LR</w:t>
            </w:r>
            <w:r>
              <w:rPr>
                <w:rFonts w:ascii="Arial" w:hAnsi="Arial"/>
                <w:sz w:val="18"/>
                <w:highlight w:val="none"/>
              </w:rPr>
              <w:t xml:space="preserve"> +</w:t>
            </w:r>
            <w:r>
              <w:rPr>
                <w:rFonts w:hint="eastAsia" w:ascii="Arial" w:hAnsi="Arial" w:eastAsia="宋体"/>
                <w:sz w:val="18"/>
                <w:highlight w:val="none"/>
                <w:lang w:val="en-US" w:eastAsia="zh-CN"/>
              </w:rPr>
              <w:t xml:space="preserve"> 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0" w:type="dxa"/>
            <w:gridSpan w:val="3"/>
            <w:tcBorders>
              <w:top w:val="single" w:color="auto" w:sz="4" w:space="0"/>
              <w:bottom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line="240" w:lineRule="auto"/>
              <w:jc w:val="both"/>
              <w:textAlignment w:val="auto"/>
              <w:rPr>
                <w:rFonts w:ascii="Arial" w:hAnsi="Arial"/>
                <w:sz w:val="18"/>
                <w:highlight w:val="none"/>
              </w:rPr>
            </w:pPr>
            <w:r>
              <w:rPr>
                <w:rFonts w:hint="eastAsia" w:ascii="Arial" w:hAnsi="Arial" w:eastAsia="宋体" w:cs="Times New Roman"/>
                <w:sz w:val="18"/>
                <w:szCs w:val="20"/>
                <w:lang w:val="en-US" w:eastAsia="zh-CN" w:bidi="ar-SA"/>
              </w:rPr>
              <w:t xml:space="preserve">NOTE 1: </w:t>
            </w:r>
            <w:r>
              <w:rPr>
                <w:rFonts w:ascii="Arial" w:hAnsi="Arial" w:eastAsia="宋体" w:cs="Times New Roman"/>
                <w:sz w:val="18"/>
                <w:szCs w:val="20"/>
                <w:lang w:val="en-GB" w:eastAsia="en-US" w:bidi="ar-SA"/>
              </w:rPr>
              <w:t xml:space="preserve">LP-WUS is configured at </w:t>
            </w:r>
            <w:r>
              <w:rPr>
                <w:rFonts w:hint="eastAsia" w:ascii="Arial" w:hAnsi="Arial" w:eastAsia="宋体" w:cs="Times New Roman"/>
                <w:sz w:val="18"/>
                <w:szCs w:val="20"/>
                <w:lang w:val="en-US" w:eastAsia="zh-CN" w:bidi="ar-SA"/>
              </w:rPr>
              <w:t>the edge</w:t>
            </w:r>
            <w:r>
              <w:rPr>
                <w:rFonts w:ascii="Arial" w:hAnsi="Arial" w:eastAsia="宋体" w:cs="Times New Roman"/>
                <w:sz w:val="18"/>
                <w:szCs w:val="20"/>
                <w:lang w:val="en-GB" w:eastAsia="en-US" w:bidi="ar-SA"/>
              </w:rPr>
              <w:t xml:space="preserve"> of the NR carrier</w:t>
            </w:r>
            <w:r>
              <w:rPr>
                <w:rFonts w:hint="eastAsia" w:ascii="Arial" w:hAnsi="Arial" w:eastAsia="宋体" w:cs="Times New Roman"/>
                <w:sz w:val="18"/>
                <w:szCs w:val="20"/>
                <w:lang w:val="en-US" w:eastAsia="zh-CN" w:bidi="ar-SA"/>
              </w:rPr>
              <w:t xml:space="preserve"> without adjacent sub-carrier interference</w:t>
            </w:r>
            <w:r>
              <w:rPr>
                <w:rFonts w:ascii="Arial" w:hAnsi="Arial" w:eastAsia="宋体" w:cs="Times New Roman"/>
                <w:sz w:val="18"/>
                <w:szCs w:val="20"/>
                <w:lang w:val="en-GB" w:eastAsia="en-US" w:bidi="ar-SA"/>
              </w:rPr>
              <w:t>.</w:t>
            </w:r>
          </w:p>
        </w:tc>
      </w:tr>
    </w:tbl>
    <w:p>
      <w:pPr>
        <w:keepNext/>
        <w:keepLines/>
        <w:pageBreakBefore w:val="0"/>
        <w:widowControl/>
        <w:kinsoku/>
        <w:wordWrap/>
        <w:overflowPunct/>
        <w:topLinePunct w:val="0"/>
        <w:autoSpaceDE/>
        <w:autoSpaceDN/>
        <w:bidi w:val="0"/>
        <w:adjustRightInd/>
        <w:snapToGrid w:val="0"/>
        <w:spacing w:before="157" w:beforeLines="50" w:after="157" w:afterLines="50" w:line="240" w:lineRule="auto"/>
        <w:jc w:val="center"/>
        <w:textAlignment w:val="auto"/>
        <w:rPr>
          <w:rFonts w:hint="default" w:ascii="Times New Roman" w:hAnsi="Times New Roman" w:eastAsia="宋体" w:cs="Times New Roman"/>
          <w:b/>
          <w:lang w:val="en-US" w:eastAsia="zh-CN"/>
        </w:rPr>
      </w:pPr>
      <w:r>
        <w:rPr>
          <w:rFonts w:hint="default" w:ascii="Times New Roman" w:hAnsi="Times New Roman" w:cs="Times New Roman"/>
          <w:b/>
        </w:rPr>
        <w:t xml:space="preserve">Table </w:t>
      </w:r>
      <w:r>
        <w:rPr>
          <w:rFonts w:hint="eastAsia" w:eastAsia="宋体" w:cs="Times New Roman"/>
          <w:b/>
          <w:lang w:val="en-US" w:eastAsia="zh-CN"/>
        </w:rPr>
        <w:t xml:space="preserve">4-3 </w:t>
      </w:r>
      <w:r>
        <w:rPr>
          <w:rFonts w:hint="default" w:ascii="Times New Roman" w:hAnsi="Times New Roman" w:cs="Times New Roman"/>
          <w:b/>
        </w:rPr>
        <w:t xml:space="preserve"> Spurious response</w:t>
      </w:r>
      <w:r>
        <w:rPr>
          <w:rFonts w:hint="eastAsia" w:eastAsia="宋体" w:cs="Times New Roman"/>
          <w:b/>
          <w:lang w:val="en-US" w:eastAsia="zh-CN"/>
        </w:rPr>
        <w:t xml:space="preserve"> for LP-WUR</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6"/>
        <w:gridCol w:w="1056"/>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br w:type="page"/>
            </w:r>
            <w:r>
              <w:t>Parameter</w:t>
            </w:r>
          </w:p>
        </w:tc>
        <w:tc>
          <w:tcPr>
            <w:tcW w:w="1056"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Unit</w:t>
            </w:r>
          </w:p>
        </w:tc>
        <w:tc>
          <w:tcPr>
            <w:tcW w:w="2749" w:type="dxa"/>
            <w:vAlign w:val="center"/>
          </w:tcPr>
          <w:p>
            <w:pPr>
              <w:pStyle w:val="34"/>
              <w:keepNext/>
              <w:keepLines/>
              <w:pageBreakBefore w:val="0"/>
              <w:widowControl/>
              <w:kinsoku/>
              <w:wordWrap/>
              <w:overflowPunct/>
              <w:topLinePunct w:val="0"/>
              <w:autoSpaceDE/>
              <w:autoSpaceDN/>
              <w:bidi w:val="0"/>
              <w:adjustRightInd/>
              <w:snapToGrid w:val="0"/>
              <w:spacing w:after="0" w:line="240" w:lineRule="auto"/>
              <w:jc w:val="center"/>
              <w:textAlignment w:val="auto"/>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P</w:t>
            </w:r>
            <w:r>
              <w:rPr>
                <w:rFonts w:cs="Arial"/>
                <w:vertAlign w:val="subscript"/>
              </w:rPr>
              <w:t>Interferer</w:t>
            </w:r>
            <w:r>
              <w:rPr>
                <w:rFonts w:cs="Arial"/>
              </w:rPr>
              <w:t xml:space="preserve"> (CW)</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dBm</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cs="Arial"/>
                <w:lang w:val="en-US" w:eastAsia="zh-CN"/>
              </w:rPr>
            </w:pPr>
            <w:r>
              <w:rPr>
                <w:rFonts w:cs="Arial"/>
                <w:highlight w:val="none"/>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66" w:type="dxa"/>
            <w:vAlign w:val="center"/>
          </w:tcPr>
          <w:p>
            <w:pPr>
              <w:pStyle w:val="36"/>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F</w:t>
            </w:r>
            <w:r>
              <w:rPr>
                <w:rFonts w:cs="Arial"/>
                <w:vertAlign w:val="subscript"/>
              </w:rPr>
              <w:t>Interferer</w:t>
            </w:r>
          </w:p>
        </w:tc>
        <w:tc>
          <w:tcPr>
            <w:tcW w:w="1056"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MHz</w:t>
            </w:r>
          </w:p>
        </w:tc>
        <w:tc>
          <w:tcPr>
            <w:tcW w:w="2749" w:type="dxa"/>
            <w:vAlign w:val="center"/>
          </w:tcPr>
          <w:p>
            <w:pPr>
              <w:pStyle w:val="35"/>
              <w:keepNext/>
              <w:keepLines/>
              <w:pageBreakBefore w:val="0"/>
              <w:widowControl/>
              <w:kinsoku/>
              <w:wordWrap/>
              <w:overflowPunct/>
              <w:topLinePunct w:val="0"/>
              <w:autoSpaceDE/>
              <w:autoSpaceDN/>
              <w:bidi w:val="0"/>
              <w:adjustRightInd/>
              <w:snapToGrid w:val="0"/>
              <w:spacing w:after="0" w:line="240" w:lineRule="auto"/>
              <w:jc w:val="center"/>
              <w:textAlignment w:val="auto"/>
              <w:rPr>
                <w:rFonts w:cs="Arial"/>
              </w:rPr>
            </w:pPr>
            <w:r>
              <w:rPr>
                <w:rFonts w:cs="Arial"/>
              </w:rPr>
              <w:t>Spurious response frequencies</w:t>
            </w:r>
          </w:p>
        </w:tc>
      </w:tr>
    </w:tbl>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Proposal1: Consider the test parameters for IBB of LP-WUR in Table 1-1, 1-2, 1-3, and the test parameters for OBB of LP-WUR in Table 2-1, 2-2, 2-3.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jc w:val="both"/>
        <w:textAlignment w:val="auto"/>
        <w:outlineLvl w:val="9"/>
        <w:rPr>
          <w:rFonts w:hint="eastAsia" w:eastAsia="宋体" w:cs="Times New Roman"/>
          <w:sz w:val="20"/>
          <w:szCs w:val="20"/>
          <w:highlight w:val="none"/>
          <w:lang w:val="en-US" w:eastAsia="zh-CN"/>
        </w:rPr>
      </w:pPr>
      <w:r>
        <w:rPr>
          <w:rFonts w:hint="eastAsia" w:cs="Times New Roman"/>
          <w:b/>
          <w:bCs/>
          <w:i w:val="0"/>
          <w:iCs w:val="0"/>
          <w:sz w:val="20"/>
          <w:szCs w:val="20"/>
          <w:highlight w:val="none"/>
          <w:lang w:val="en-US" w:eastAsia="zh-CN"/>
        </w:rPr>
        <w:t xml:space="preserve">Proposal 2: Consider the test parameters for intermodulation of LP-WUR in Table 3-1 and 3-2. </w:t>
      </w:r>
      <w:r>
        <w:rPr>
          <w:b/>
          <w:bCs/>
          <w:highlight w:val="none"/>
        </w:rPr>
        <w:t xml:space="preserve">For these test parameters, the </w:t>
      </w:r>
      <w:r>
        <w:rPr>
          <w:rFonts w:hint="eastAsia" w:eastAsia="宋体"/>
          <w:b/>
          <w:bCs/>
          <w:highlight w:val="none"/>
          <w:lang w:val="en-US" w:eastAsia="zh-CN"/>
        </w:rPr>
        <w:t>missed detection rate</w:t>
      </w:r>
      <w:r>
        <w:rPr>
          <w:b/>
          <w:bCs/>
          <w:highlight w:val="none"/>
        </w:rPr>
        <w:t xml:space="preserve"> shall be</w:t>
      </w:r>
      <w:r>
        <w:rPr>
          <w:rFonts w:hint="eastAsia" w:eastAsia="宋体"/>
          <w:b/>
          <w:bCs/>
          <w:highlight w:val="none"/>
          <w:lang w:val="en-US" w:eastAsia="zh-CN"/>
        </w:rPr>
        <w:t xml:space="preserve"> </w:t>
      </w:r>
      <w:r>
        <w:rPr>
          <w:b/>
          <w:bCs/>
          <w:highlight w:val="none"/>
        </w:rPr>
        <w:t>≤</w:t>
      </w:r>
      <w:r>
        <w:rPr>
          <w:rFonts w:hint="eastAsia" w:eastAsia="宋体"/>
          <w:b/>
          <w:bCs/>
          <w:highlight w:val="none"/>
          <w:lang w:val="en-US" w:eastAsia="zh-CN"/>
        </w:rPr>
        <w:t>1%</w:t>
      </w:r>
      <w:r>
        <w:rPr>
          <w:rFonts w:hint="eastAsia" w:cs="Times New Roman"/>
          <w:b/>
          <w:bCs/>
          <w:i w:val="0"/>
          <w:iCs w:val="0"/>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9"/>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3: Consider the test parameters for spurious response of LP-WUR in Table 4-1, 4-2 and 4-3. </w:t>
      </w:r>
      <w:r>
        <w:rPr>
          <w:b/>
          <w:bCs/>
        </w:rPr>
        <w:t xml:space="preserve">For these test parameters, the </w:t>
      </w:r>
      <w:r>
        <w:rPr>
          <w:rFonts w:hint="eastAsia" w:eastAsia="宋体"/>
          <w:b/>
          <w:bCs/>
          <w:lang w:val="en-US" w:eastAsia="zh-CN"/>
        </w:rPr>
        <w:t>missed detection rate</w:t>
      </w:r>
      <w:r>
        <w:rPr>
          <w:b/>
          <w:bCs/>
        </w:rPr>
        <w:t xml:space="preserve"> shall be</w:t>
      </w:r>
      <w:r>
        <w:rPr>
          <w:rFonts w:hint="eastAsia" w:eastAsia="宋体"/>
          <w:b/>
          <w:bCs/>
          <w:lang w:val="en-US" w:eastAsia="zh-CN"/>
        </w:rPr>
        <w:t xml:space="preserve"> </w:t>
      </w:r>
      <w:r>
        <w:rPr>
          <w:b/>
          <w:bCs/>
        </w:rPr>
        <w:t>≤</w:t>
      </w:r>
      <w:r>
        <w:rPr>
          <w:rFonts w:hint="eastAsia" w:eastAsia="宋体"/>
          <w:b/>
          <w:bCs/>
          <w:lang w:val="en-US" w:eastAsia="zh-CN"/>
        </w:rPr>
        <w:t>1%</w:t>
      </w:r>
      <w:r>
        <w:rPr>
          <w:rFonts w:hint="eastAsia" w:cs="Times New Roman"/>
          <w:b/>
          <w:bCs/>
          <w:i w:val="0"/>
          <w:iCs w:val="0"/>
          <w:sz w:val="20"/>
          <w:szCs w:val="20"/>
          <w:highlight w:val="none"/>
          <w:lang w:val="en-US" w:eastAsia="zh-CN"/>
        </w:rPr>
        <w:t>.</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425" w:hanging="425"/>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9"/>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R4-2507936 WF for [115][136] NR_LPWUS_UERF, Vivo, RAN4#115, St. Julian</w:t>
      </w:r>
      <w:r>
        <w:rPr>
          <w:rFonts w:hint="default"/>
          <w:sz w:val="20"/>
          <w:szCs w:val="20"/>
          <w:lang w:val="en-US" w:eastAsia="zh-CN"/>
        </w:rPr>
        <w:t>’</w:t>
      </w:r>
      <w:r>
        <w:rPr>
          <w:rFonts w:hint="eastAsia"/>
          <w:sz w:val="20"/>
          <w:szCs w:val="20"/>
          <w:lang w:val="en-US" w:eastAsia="zh-CN"/>
        </w:rPr>
        <w:t>s, Malta, May 2025.</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AA6772A"/>
    <w:multiLevelType w:val="multilevel"/>
    <w:tmpl w:val="7AA677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2F"/>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51C"/>
    <w:rsid w:val="00573FF9"/>
    <w:rsid w:val="00574D0D"/>
    <w:rsid w:val="00575177"/>
    <w:rsid w:val="00576404"/>
    <w:rsid w:val="005775DE"/>
    <w:rsid w:val="00580DFD"/>
    <w:rsid w:val="00581155"/>
    <w:rsid w:val="0058116D"/>
    <w:rsid w:val="00581BF8"/>
    <w:rsid w:val="00581EF8"/>
    <w:rsid w:val="0058290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E7779"/>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160A"/>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164BFB"/>
    <w:rsid w:val="011B1C47"/>
    <w:rsid w:val="011B5754"/>
    <w:rsid w:val="0153531E"/>
    <w:rsid w:val="01624027"/>
    <w:rsid w:val="01633D2A"/>
    <w:rsid w:val="0165337E"/>
    <w:rsid w:val="0167462C"/>
    <w:rsid w:val="01730C72"/>
    <w:rsid w:val="01795E27"/>
    <w:rsid w:val="0180738E"/>
    <w:rsid w:val="018A2647"/>
    <w:rsid w:val="018B3BAA"/>
    <w:rsid w:val="01945324"/>
    <w:rsid w:val="01957959"/>
    <w:rsid w:val="01BA0053"/>
    <w:rsid w:val="01CA556D"/>
    <w:rsid w:val="01DC1C82"/>
    <w:rsid w:val="01DC200E"/>
    <w:rsid w:val="01E62DF0"/>
    <w:rsid w:val="01EF7CEA"/>
    <w:rsid w:val="01F86CD9"/>
    <w:rsid w:val="02065A2E"/>
    <w:rsid w:val="020928F5"/>
    <w:rsid w:val="0217354E"/>
    <w:rsid w:val="021A2217"/>
    <w:rsid w:val="021A5187"/>
    <w:rsid w:val="02281CFD"/>
    <w:rsid w:val="0228598B"/>
    <w:rsid w:val="02343561"/>
    <w:rsid w:val="0239492C"/>
    <w:rsid w:val="025B0AD8"/>
    <w:rsid w:val="02626E3D"/>
    <w:rsid w:val="02720145"/>
    <w:rsid w:val="02721826"/>
    <w:rsid w:val="02740574"/>
    <w:rsid w:val="02770E1A"/>
    <w:rsid w:val="028153EF"/>
    <w:rsid w:val="02847D4F"/>
    <w:rsid w:val="028C48C4"/>
    <w:rsid w:val="028C48F7"/>
    <w:rsid w:val="0298367A"/>
    <w:rsid w:val="02C409AE"/>
    <w:rsid w:val="02CA1321"/>
    <w:rsid w:val="02D254EC"/>
    <w:rsid w:val="02D55E01"/>
    <w:rsid w:val="02DE07AA"/>
    <w:rsid w:val="02E43D5D"/>
    <w:rsid w:val="02E569D9"/>
    <w:rsid w:val="02F72239"/>
    <w:rsid w:val="02F759DA"/>
    <w:rsid w:val="02FE0556"/>
    <w:rsid w:val="02FE5F82"/>
    <w:rsid w:val="030F2294"/>
    <w:rsid w:val="03177034"/>
    <w:rsid w:val="03256F39"/>
    <w:rsid w:val="032D5AEE"/>
    <w:rsid w:val="03311F41"/>
    <w:rsid w:val="03334B44"/>
    <w:rsid w:val="033F2E50"/>
    <w:rsid w:val="03480613"/>
    <w:rsid w:val="035C5E5E"/>
    <w:rsid w:val="036F028C"/>
    <w:rsid w:val="0383140E"/>
    <w:rsid w:val="038D2B62"/>
    <w:rsid w:val="03A05508"/>
    <w:rsid w:val="03AB67DC"/>
    <w:rsid w:val="03AD2FC5"/>
    <w:rsid w:val="03AF3C36"/>
    <w:rsid w:val="03B82CC7"/>
    <w:rsid w:val="03C47DAC"/>
    <w:rsid w:val="03C77456"/>
    <w:rsid w:val="03CB41C8"/>
    <w:rsid w:val="03E74B3D"/>
    <w:rsid w:val="03ED7190"/>
    <w:rsid w:val="04156C27"/>
    <w:rsid w:val="0422628F"/>
    <w:rsid w:val="04273757"/>
    <w:rsid w:val="042B1DF5"/>
    <w:rsid w:val="043D2559"/>
    <w:rsid w:val="04485493"/>
    <w:rsid w:val="044E1E10"/>
    <w:rsid w:val="045A69C0"/>
    <w:rsid w:val="045D198A"/>
    <w:rsid w:val="046824A8"/>
    <w:rsid w:val="04762AE0"/>
    <w:rsid w:val="0478015E"/>
    <w:rsid w:val="048473D7"/>
    <w:rsid w:val="04B43FA7"/>
    <w:rsid w:val="04BF26EE"/>
    <w:rsid w:val="04C6449B"/>
    <w:rsid w:val="04D16755"/>
    <w:rsid w:val="04D20004"/>
    <w:rsid w:val="04E54CF2"/>
    <w:rsid w:val="04EB6A3A"/>
    <w:rsid w:val="04F46C46"/>
    <w:rsid w:val="04F731C7"/>
    <w:rsid w:val="04FC2C75"/>
    <w:rsid w:val="050F2775"/>
    <w:rsid w:val="05143195"/>
    <w:rsid w:val="0526729B"/>
    <w:rsid w:val="052808AB"/>
    <w:rsid w:val="05402104"/>
    <w:rsid w:val="054248F2"/>
    <w:rsid w:val="05492E9A"/>
    <w:rsid w:val="05510DD1"/>
    <w:rsid w:val="05533CBE"/>
    <w:rsid w:val="05685D6B"/>
    <w:rsid w:val="056A64DA"/>
    <w:rsid w:val="05785C74"/>
    <w:rsid w:val="05847419"/>
    <w:rsid w:val="058704DA"/>
    <w:rsid w:val="059160D0"/>
    <w:rsid w:val="0599193D"/>
    <w:rsid w:val="059E2274"/>
    <w:rsid w:val="05AE018C"/>
    <w:rsid w:val="05B32ECD"/>
    <w:rsid w:val="05F0172F"/>
    <w:rsid w:val="05FF0D9C"/>
    <w:rsid w:val="062937AB"/>
    <w:rsid w:val="062941CA"/>
    <w:rsid w:val="062A620F"/>
    <w:rsid w:val="063661E5"/>
    <w:rsid w:val="06410604"/>
    <w:rsid w:val="064B00B0"/>
    <w:rsid w:val="065C3A1D"/>
    <w:rsid w:val="06654A0B"/>
    <w:rsid w:val="06686223"/>
    <w:rsid w:val="066C7192"/>
    <w:rsid w:val="06823D8F"/>
    <w:rsid w:val="06883FFB"/>
    <w:rsid w:val="068F48CC"/>
    <w:rsid w:val="06A023FD"/>
    <w:rsid w:val="06C11394"/>
    <w:rsid w:val="06C30854"/>
    <w:rsid w:val="06C91F10"/>
    <w:rsid w:val="06C93669"/>
    <w:rsid w:val="06CC69B4"/>
    <w:rsid w:val="06CD6519"/>
    <w:rsid w:val="06D84A8A"/>
    <w:rsid w:val="06DA70C9"/>
    <w:rsid w:val="06ED6956"/>
    <w:rsid w:val="06F34B4B"/>
    <w:rsid w:val="06F36A7A"/>
    <w:rsid w:val="0708351A"/>
    <w:rsid w:val="070F3D15"/>
    <w:rsid w:val="07122035"/>
    <w:rsid w:val="07171551"/>
    <w:rsid w:val="071D753B"/>
    <w:rsid w:val="071F7265"/>
    <w:rsid w:val="07214293"/>
    <w:rsid w:val="072144C3"/>
    <w:rsid w:val="0734792D"/>
    <w:rsid w:val="073F3648"/>
    <w:rsid w:val="074A5F1C"/>
    <w:rsid w:val="07622262"/>
    <w:rsid w:val="076B1424"/>
    <w:rsid w:val="078F46FE"/>
    <w:rsid w:val="0793078D"/>
    <w:rsid w:val="07970803"/>
    <w:rsid w:val="07A9337A"/>
    <w:rsid w:val="07AB0366"/>
    <w:rsid w:val="07BA2D18"/>
    <w:rsid w:val="07BF78DC"/>
    <w:rsid w:val="07CD3CDD"/>
    <w:rsid w:val="07E96697"/>
    <w:rsid w:val="0818374A"/>
    <w:rsid w:val="08230B3B"/>
    <w:rsid w:val="082A2AD6"/>
    <w:rsid w:val="08315282"/>
    <w:rsid w:val="0848634F"/>
    <w:rsid w:val="085145EC"/>
    <w:rsid w:val="085C2CEC"/>
    <w:rsid w:val="085D2367"/>
    <w:rsid w:val="085E5DBE"/>
    <w:rsid w:val="086D0162"/>
    <w:rsid w:val="08721912"/>
    <w:rsid w:val="087B0F4C"/>
    <w:rsid w:val="087C4EF8"/>
    <w:rsid w:val="088467B6"/>
    <w:rsid w:val="08AD5856"/>
    <w:rsid w:val="08C13553"/>
    <w:rsid w:val="08C3786B"/>
    <w:rsid w:val="08C46EED"/>
    <w:rsid w:val="08C61707"/>
    <w:rsid w:val="08C71DC3"/>
    <w:rsid w:val="08CA745A"/>
    <w:rsid w:val="08D538D0"/>
    <w:rsid w:val="08E37BAD"/>
    <w:rsid w:val="08EE2ED2"/>
    <w:rsid w:val="08F869E1"/>
    <w:rsid w:val="08FB28C9"/>
    <w:rsid w:val="08FF6FD1"/>
    <w:rsid w:val="090F5236"/>
    <w:rsid w:val="091A3AFD"/>
    <w:rsid w:val="0924260A"/>
    <w:rsid w:val="092553BF"/>
    <w:rsid w:val="09294F7D"/>
    <w:rsid w:val="092C61F8"/>
    <w:rsid w:val="095C0F0C"/>
    <w:rsid w:val="09646BE3"/>
    <w:rsid w:val="09674661"/>
    <w:rsid w:val="096B2177"/>
    <w:rsid w:val="097E672F"/>
    <w:rsid w:val="09825F02"/>
    <w:rsid w:val="09A2613C"/>
    <w:rsid w:val="09AB6C45"/>
    <w:rsid w:val="09B36F96"/>
    <w:rsid w:val="09CE4FD8"/>
    <w:rsid w:val="09E20449"/>
    <w:rsid w:val="09E5085D"/>
    <w:rsid w:val="09FA7CAB"/>
    <w:rsid w:val="09FC388C"/>
    <w:rsid w:val="0A0F5E0F"/>
    <w:rsid w:val="0A153B05"/>
    <w:rsid w:val="0A2802DC"/>
    <w:rsid w:val="0A4B6F30"/>
    <w:rsid w:val="0A665D1E"/>
    <w:rsid w:val="0A731B50"/>
    <w:rsid w:val="0A8D4756"/>
    <w:rsid w:val="0A8E34E6"/>
    <w:rsid w:val="0A932845"/>
    <w:rsid w:val="0AB60DEE"/>
    <w:rsid w:val="0AB706E8"/>
    <w:rsid w:val="0ABD7C12"/>
    <w:rsid w:val="0AC9278E"/>
    <w:rsid w:val="0AED4366"/>
    <w:rsid w:val="0B1A3243"/>
    <w:rsid w:val="0B212BCB"/>
    <w:rsid w:val="0B2E106F"/>
    <w:rsid w:val="0B2F5F6B"/>
    <w:rsid w:val="0B3E5ECD"/>
    <w:rsid w:val="0B5950D6"/>
    <w:rsid w:val="0B5B5331"/>
    <w:rsid w:val="0B61638C"/>
    <w:rsid w:val="0B724963"/>
    <w:rsid w:val="0B725220"/>
    <w:rsid w:val="0B7D64C0"/>
    <w:rsid w:val="0B802D0D"/>
    <w:rsid w:val="0B8D5FD9"/>
    <w:rsid w:val="0B9641FD"/>
    <w:rsid w:val="0B9A6376"/>
    <w:rsid w:val="0B9A68E7"/>
    <w:rsid w:val="0B9C3E91"/>
    <w:rsid w:val="0BC176FB"/>
    <w:rsid w:val="0BE079EF"/>
    <w:rsid w:val="0BF37D09"/>
    <w:rsid w:val="0BF41031"/>
    <w:rsid w:val="0C0C5682"/>
    <w:rsid w:val="0C1D57F9"/>
    <w:rsid w:val="0C200319"/>
    <w:rsid w:val="0C341346"/>
    <w:rsid w:val="0C536A26"/>
    <w:rsid w:val="0C684AC1"/>
    <w:rsid w:val="0C7962B1"/>
    <w:rsid w:val="0C7A666C"/>
    <w:rsid w:val="0C7D5162"/>
    <w:rsid w:val="0C867BFF"/>
    <w:rsid w:val="0C953742"/>
    <w:rsid w:val="0CA242EA"/>
    <w:rsid w:val="0CB10B0C"/>
    <w:rsid w:val="0CB30E04"/>
    <w:rsid w:val="0CC66B41"/>
    <w:rsid w:val="0CD0243E"/>
    <w:rsid w:val="0CE077FD"/>
    <w:rsid w:val="0D141518"/>
    <w:rsid w:val="0D1561A4"/>
    <w:rsid w:val="0D225A10"/>
    <w:rsid w:val="0D2706A2"/>
    <w:rsid w:val="0D292FD9"/>
    <w:rsid w:val="0D3B5CCB"/>
    <w:rsid w:val="0D495A0D"/>
    <w:rsid w:val="0D4B7D0A"/>
    <w:rsid w:val="0D4D2BE5"/>
    <w:rsid w:val="0D613BA3"/>
    <w:rsid w:val="0D744565"/>
    <w:rsid w:val="0D78361E"/>
    <w:rsid w:val="0D7F564D"/>
    <w:rsid w:val="0D835665"/>
    <w:rsid w:val="0D955077"/>
    <w:rsid w:val="0D957F13"/>
    <w:rsid w:val="0DB243FB"/>
    <w:rsid w:val="0DC3083F"/>
    <w:rsid w:val="0DDB3390"/>
    <w:rsid w:val="0DDC50DA"/>
    <w:rsid w:val="0DE052FE"/>
    <w:rsid w:val="0DFF2B1F"/>
    <w:rsid w:val="0E08297D"/>
    <w:rsid w:val="0E214766"/>
    <w:rsid w:val="0E2339D9"/>
    <w:rsid w:val="0E2340BB"/>
    <w:rsid w:val="0E3330D0"/>
    <w:rsid w:val="0E3916C1"/>
    <w:rsid w:val="0E440278"/>
    <w:rsid w:val="0E4E5304"/>
    <w:rsid w:val="0E537C3C"/>
    <w:rsid w:val="0E5576D4"/>
    <w:rsid w:val="0E6B1F68"/>
    <w:rsid w:val="0E7519BC"/>
    <w:rsid w:val="0E992415"/>
    <w:rsid w:val="0E9A0FC7"/>
    <w:rsid w:val="0E9E4D5A"/>
    <w:rsid w:val="0EAA7EC3"/>
    <w:rsid w:val="0EC81E9E"/>
    <w:rsid w:val="0EC82AA3"/>
    <w:rsid w:val="0ECE66B5"/>
    <w:rsid w:val="0ED45973"/>
    <w:rsid w:val="0EDC2C57"/>
    <w:rsid w:val="0EE5481D"/>
    <w:rsid w:val="0EF72277"/>
    <w:rsid w:val="0EFC7665"/>
    <w:rsid w:val="0F11785B"/>
    <w:rsid w:val="0F193A29"/>
    <w:rsid w:val="0F21557B"/>
    <w:rsid w:val="0F372967"/>
    <w:rsid w:val="0F3747E7"/>
    <w:rsid w:val="0F3D56F1"/>
    <w:rsid w:val="0F5107D2"/>
    <w:rsid w:val="0F5413E6"/>
    <w:rsid w:val="0F580EBC"/>
    <w:rsid w:val="0F5963C8"/>
    <w:rsid w:val="0F8F0E66"/>
    <w:rsid w:val="0F906704"/>
    <w:rsid w:val="0FDA7DDA"/>
    <w:rsid w:val="0FF721A8"/>
    <w:rsid w:val="0FFA1150"/>
    <w:rsid w:val="100709D8"/>
    <w:rsid w:val="100E1047"/>
    <w:rsid w:val="10490BAD"/>
    <w:rsid w:val="104D663F"/>
    <w:rsid w:val="106C0466"/>
    <w:rsid w:val="108F05CA"/>
    <w:rsid w:val="109241A4"/>
    <w:rsid w:val="109615A9"/>
    <w:rsid w:val="109658C1"/>
    <w:rsid w:val="10A81A96"/>
    <w:rsid w:val="10D6699E"/>
    <w:rsid w:val="10E63E4A"/>
    <w:rsid w:val="10F442DE"/>
    <w:rsid w:val="11104883"/>
    <w:rsid w:val="11291D63"/>
    <w:rsid w:val="112D72C6"/>
    <w:rsid w:val="113F3856"/>
    <w:rsid w:val="114B345D"/>
    <w:rsid w:val="11683FF9"/>
    <w:rsid w:val="117542FD"/>
    <w:rsid w:val="118038D3"/>
    <w:rsid w:val="118C0750"/>
    <w:rsid w:val="11A228E7"/>
    <w:rsid w:val="11A50508"/>
    <w:rsid w:val="11A63D04"/>
    <w:rsid w:val="11FD3DC0"/>
    <w:rsid w:val="120639A8"/>
    <w:rsid w:val="12121726"/>
    <w:rsid w:val="122250B4"/>
    <w:rsid w:val="123E5A4F"/>
    <w:rsid w:val="12447798"/>
    <w:rsid w:val="125D4125"/>
    <w:rsid w:val="12771554"/>
    <w:rsid w:val="12AA1F62"/>
    <w:rsid w:val="12AE4121"/>
    <w:rsid w:val="12B51A8D"/>
    <w:rsid w:val="12B92975"/>
    <w:rsid w:val="12C041D4"/>
    <w:rsid w:val="12CF1D40"/>
    <w:rsid w:val="12E93494"/>
    <w:rsid w:val="12F14732"/>
    <w:rsid w:val="12F7602D"/>
    <w:rsid w:val="13437E80"/>
    <w:rsid w:val="134C3538"/>
    <w:rsid w:val="13583391"/>
    <w:rsid w:val="13596882"/>
    <w:rsid w:val="137F4008"/>
    <w:rsid w:val="13866322"/>
    <w:rsid w:val="1390333E"/>
    <w:rsid w:val="139C110B"/>
    <w:rsid w:val="13A51648"/>
    <w:rsid w:val="13AA713B"/>
    <w:rsid w:val="13BE3B38"/>
    <w:rsid w:val="13C30FC1"/>
    <w:rsid w:val="13C90583"/>
    <w:rsid w:val="13CD4D8B"/>
    <w:rsid w:val="13D15059"/>
    <w:rsid w:val="13E476E4"/>
    <w:rsid w:val="13F672DD"/>
    <w:rsid w:val="13FB7B95"/>
    <w:rsid w:val="13FD7AD9"/>
    <w:rsid w:val="13FF44D4"/>
    <w:rsid w:val="140A2CA4"/>
    <w:rsid w:val="140C5848"/>
    <w:rsid w:val="1415743A"/>
    <w:rsid w:val="141B497D"/>
    <w:rsid w:val="14480142"/>
    <w:rsid w:val="144E5CD4"/>
    <w:rsid w:val="1456461F"/>
    <w:rsid w:val="145B0E4C"/>
    <w:rsid w:val="145F0D59"/>
    <w:rsid w:val="1483457B"/>
    <w:rsid w:val="14933D0B"/>
    <w:rsid w:val="149821B3"/>
    <w:rsid w:val="149B6760"/>
    <w:rsid w:val="149D2922"/>
    <w:rsid w:val="14BF7340"/>
    <w:rsid w:val="14CA4A78"/>
    <w:rsid w:val="14D03D10"/>
    <w:rsid w:val="14D87463"/>
    <w:rsid w:val="14D87DF4"/>
    <w:rsid w:val="14F13DA6"/>
    <w:rsid w:val="14FF6FC2"/>
    <w:rsid w:val="15060BB2"/>
    <w:rsid w:val="150824BE"/>
    <w:rsid w:val="15200AAB"/>
    <w:rsid w:val="15220493"/>
    <w:rsid w:val="15222491"/>
    <w:rsid w:val="15286C92"/>
    <w:rsid w:val="15525599"/>
    <w:rsid w:val="155C1FAD"/>
    <w:rsid w:val="156063FA"/>
    <w:rsid w:val="156B18BD"/>
    <w:rsid w:val="156F1F39"/>
    <w:rsid w:val="157674F6"/>
    <w:rsid w:val="157A419A"/>
    <w:rsid w:val="158270AF"/>
    <w:rsid w:val="158C2B13"/>
    <w:rsid w:val="158E79FA"/>
    <w:rsid w:val="158F210D"/>
    <w:rsid w:val="159427E9"/>
    <w:rsid w:val="15A83BED"/>
    <w:rsid w:val="15AA1B7E"/>
    <w:rsid w:val="15BB0608"/>
    <w:rsid w:val="15C225B8"/>
    <w:rsid w:val="15D44A58"/>
    <w:rsid w:val="15DD5A1F"/>
    <w:rsid w:val="15E12A88"/>
    <w:rsid w:val="15E81CEA"/>
    <w:rsid w:val="15E95672"/>
    <w:rsid w:val="15F9350E"/>
    <w:rsid w:val="15FF6183"/>
    <w:rsid w:val="16054980"/>
    <w:rsid w:val="160571EE"/>
    <w:rsid w:val="161D609B"/>
    <w:rsid w:val="16271D63"/>
    <w:rsid w:val="162A3755"/>
    <w:rsid w:val="164B047C"/>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136B76"/>
    <w:rsid w:val="1723727A"/>
    <w:rsid w:val="17276F5B"/>
    <w:rsid w:val="174F4BA1"/>
    <w:rsid w:val="1764674F"/>
    <w:rsid w:val="176C095E"/>
    <w:rsid w:val="17776868"/>
    <w:rsid w:val="178F5381"/>
    <w:rsid w:val="179855D1"/>
    <w:rsid w:val="179922A5"/>
    <w:rsid w:val="179F1E7A"/>
    <w:rsid w:val="17A37760"/>
    <w:rsid w:val="17A613DC"/>
    <w:rsid w:val="17AA27DB"/>
    <w:rsid w:val="17AF2DFF"/>
    <w:rsid w:val="17B943BD"/>
    <w:rsid w:val="17BB2869"/>
    <w:rsid w:val="17C527E0"/>
    <w:rsid w:val="17DD5D9F"/>
    <w:rsid w:val="18072BBA"/>
    <w:rsid w:val="180B6554"/>
    <w:rsid w:val="182A1DB2"/>
    <w:rsid w:val="1831099E"/>
    <w:rsid w:val="184061B8"/>
    <w:rsid w:val="184E13FF"/>
    <w:rsid w:val="18675E2F"/>
    <w:rsid w:val="186A7F3C"/>
    <w:rsid w:val="1875781D"/>
    <w:rsid w:val="188A0D46"/>
    <w:rsid w:val="188D7449"/>
    <w:rsid w:val="189553E8"/>
    <w:rsid w:val="18982F57"/>
    <w:rsid w:val="189A62E8"/>
    <w:rsid w:val="18AA0941"/>
    <w:rsid w:val="18AC426F"/>
    <w:rsid w:val="18D76F2C"/>
    <w:rsid w:val="18EF4764"/>
    <w:rsid w:val="18F279A0"/>
    <w:rsid w:val="19072600"/>
    <w:rsid w:val="191372F1"/>
    <w:rsid w:val="191F2375"/>
    <w:rsid w:val="192A6B82"/>
    <w:rsid w:val="192A78E5"/>
    <w:rsid w:val="192C06DB"/>
    <w:rsid w:val="19461F1D"/>
    <w:rsid w:val="194F5F93"/>
    <w:rsid w:val="19607D81"/>
    <w:rsid w:val="19640C89"/>
    <w:rsid w:val="196B73C9"/>
    <w:rsid w:val="197D1DB8"/>
    <w:rsid w:val="199503FD"/>
    <w:rsid w:val="19A45D24"/>
    <w:rsid w:val="19AF5CF6"/>
    <w:rsid w:val="19B25F95"/>
    <w:rsid w:val="19C63D4F"/>
    <w:rsid w:val="19C65E12"/>
    <w:rsid w:val="19C735BB"/>
    <w:rsid w:val="19DA3A4C"/>
    <w:rsid w:val="19F256A0"/>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63647"/>
    <w:rsid w:val="1ADC0421"/>
    <w:rsid w:val="1ADF492C"/>
    <w:rsid w:val="1AE00854"/>
    <w:rsid w:val="1AE767B2"/>
    <w:rsid w:val="1AEA71EF"/>
    <w:rsid w:val="1AF50990"/>
    <w:rsid w:val="1B0D5CFB"/>
    <w:rsid w:val="1B2516D5"/>
    <w:rsid w:val="1B2B089B"/>
    <w:rsid w:val="1B335308"/>
    <w:rsid w:val="1B371569"/>
    <w:rsid w:val="1B384D1E"/>
    <w:rsid w:val="1B3C4343"/>
    <w:rsid w:val="1B3F102F"/>
    <w:rsid w:val="1B4E4B33"/>
    <w:rsid w:val="1B4E745B"/>
    <w:rsid w:val="1B647AC0"/>
    <w:rsid w:val="1B6B549A"/>
    <w:rsid w:val="1B7E5BC4"/>
    <w:rsid w:val="1B870B5B"/>
    <w:rsid w:val="1B8B6B38"/>
    <w:rsid w:val="1B9A27F5"/>
    <w:rsid w:val="1BA220C5"/>
    <w:rsid w:val="1BA71412"/>
    <w:rsid w:val="1BBC09F6"/>
    <w:rsid w:val="1BBE4801"/>
    <w:rsid w:val="1BC7007B"/>
    <w:rsid w:val="1BD34730"/>
    <w:rsid w:val="1BDF455D"/>
    <w:rsid w:val="1BE17EDA"/>
    <w:rsid w:val="1BEE6734"/>
    <w:rsid w:val="1C024980"/>
    <w:rsid w:val="1C03402D"/>
    <w:rsid w:val="1C1A373E"/>
    <w:rsid w:val="1C297CFC"/>
    <w:rsid w:val="1C3571F6"/>
    <w:rsid w:val="1C3672FA"/>
    <w:rsid w:val="1C3A751E"/>
    <w:rsid w:val="1C423FC4"/>
    <w:rsid w:val="1C47233F"/>
    <w:rsid w:val="1C5D00DA"/>
    <w:rsid w:val="1C7D0C1A"/>
    <w:rsid w:val="1C7E2DD6"/>
    <w:rsid w:val="1C905109"/>
    <w:rsid w:val="1C97141E"/>
    <w:rsid w:val="1CA53FA1"/>
    <w:rsid w:val="1CAD4CCB"/>
    <w:rsid w:val="1CAF7573"/>
    <w:rsid w:val="1CCC40C9"/>
    <w:rsid w:val="1CDD5D84"/>
    <w:rsid w:val="1CEB48FE"/>
    <w:rsid w:val="1D134F1F"/>
    <w:rsid w:val="1D186F9D"/>
    <w:rsid w:val="1D1C598A"/>
    <w:rsid w:val="1D1C6CB3"/>
    <w:rsid w:val="1D295A22"/>
    <w:rsid w:val="1D504421"/>
    <w:rsid w:val="1D7E7249"/>
    <w:rsid w:val="1D7F6660"/>
    <w:rsid w:val="1D812873"/>
    <w:rsid w:val="1D956B63"/>
    <w:rsid w:val="1DA155EF"/>
    <w:rsid w:val="1DA251E1"/>
    <w:rsid w:val="1DA67F64"/>
    <w:rsid w:val="1DA843FB"/>
    <w:rsid w:val="1DA93704"/>
    <w:rsid w:val="1DAC3BC4"/>
    <w:rsid w:val="1DB875D1"/>
    <w:rsid w:val="1DC5127B"/>
    <w:rsid w:val="1DD3267D"/>
    <w:rsid w:val="1DDE1A57"/>
    <w:rsid w:val="1DE4729F"/>
    <w:rsid w:val="1DF679C8"/>
    <w:rsid w:val="1E1E70A5"/>
    <w:rsid w:val="1E224F27"/>
    <w:rsid w:val="1E2A7432"/>
    <w:rsid w:val="1E343C5D"/>
    <w:rsid w:val="1E37411F"/>
    <w:rsid w:val="1E407993"/>
    <w:rsid w:val="1E5E301B"/>
    <w:rsid w:val="1E634732"/>
    <w:rsid w:val="1E752FA6"/>
    <w:rsid w:val="1E9C5041"/>
    <w:rsid w:val="1EB870FF"/>
    <w:rsid w:val="1EC80D34"/>
    <w:rsid w:val="1ECF1323"/>
    <w:rsid w:val="1ECF4A99"/>
    <w:rsid w:val="1EDC33BC"/>
    <w:rsid w:val="1EF72D37"/>
    <w:rsid w:val="1F1530CF"/>
    <w:rsid w:val="1F211865"/>
    <w:rsid w:val="1F295D72"/>
    <w:rsid w:val="1F401463"/>
    <w:rsid w:val="1F4325C8"/>
    <w:rsid w:val="1F520B16"/>
    <w:rsid w:val="1F595BBB"/>
    <w:rsid w:val="1F603D20"/>
    <w:rsid w:val="1F7044DA"/>
    <w:rsid w:val="1F777E85"/>
    <w:rsid w:val="1F782E4D"/>
    <w:rsid w:val="1F7C7957"/>
    <w:rsid w:val="1FC127CE"/>
    <w:rsid w:val="1FD21E35"/>
    <w:rsid w:val="1FD96681"/>
    <w:rsid w:val="1FE10390"/>
    <w:rsid w:val="1FE110D8"/>
    <w:rsid w:val="1FE73560"/>
    <w:rsid w:val="1FEE7A9C"/>
    <w:rsid w:val="200E58BD"/>
    <w:rsid w:val="20353FC8"/>
    <w:rsid w:val="2041466C"/>
    <w:rsid w:val="204C064C"/>
    <w:rsid w:val="205164A7"/>
    <w:rsid w:val="206D4243"/>
    <w:rsid w:val="207714C5"/>
    <w:rsid w:val="207B590B"/>
    <w:rsid w:val="2090238B"/>
    <w:rsid w:val="209A2CD8"/>
    <w:rsid w:val="20A434B3"/>
    <w:rsid w:val="20BA4AFB"/>
    <w:rsid w:val="20BA6502"/>
    <w:rsid w:val="20C56DB2"/>
    <w:rsid w:val="20CD6B95"/>
    <w:rsid w:val="20CD7D4E"/>
    <w:rsid w:val="20E20BBA"/>
    <w:rsid w:val="20E737F7"/>
    <w:rsid w:val="20EC03B6"/>
    <w:rsid w:val="20EE04E5"/>
    <w:rsid w:val="21050585"/>
    <w:rsid w:val="21297D3A"/>
    <w:rsid w:val="212E17DE"/>
    <w:rsid w:val="213271D8"/>
    <w:rsid w:val="213E655D"/>
    <w:rsid w:val="214D4FE0"/>
    <w:rsid w:val="215026E7"/>
    <w:rsid w:val="21592706"/>
    <w:rsid w:val="2161004B"/>
    <w:rsid w:val="216D7544"/>
    <w:rsid w:val="21712A16"/>
    <w:rsid w:val="21825FF7"/>
    <w:rsid w:val="218E2266"/>
    <w:rsid w:val="21900AEB"/>
    <w:rsid w:val="2194776B"/>
    <w:rsid w:val="21B23A78"/>
    <w:rsid w:val="21B80AA5"/>
    <w:rsid w:val="21C42F62"/>
    <w:rsid w:val="21D07036"/>
    <w:rsid w:val="21D2685E"/>
    <w:rsid w:val="21F02018"/>
    <w:rsid w:val="22134FAF"/>
    <w:rsid w:val="2214054C"/>
    <w:rsid w:val="221703FC"/>
    <w:rsid w:val="221E714A"/>
    <w:rsid w:val="2223159F"/>
    <w:rsid w:val="222A0690"/>
    <w:rsid w:val="222A56CF"/>
    <w:rsid w:val="222A6525"/>
    <w:rsid w:val="22305995"/>
    <w:rsid w:val="225216B5"/>
    <w:rsid w:val="225E20C5"/>
    <w:rsid w:val="22623CF6"/>
    <w:rsid w:val="227B42A0"/>
    <w:rsid w:val="228A40D4"/>
    <w:rsid w:val="228F22EB"/>
    <w:rsid w:val="228F6A6B"/>
    <w:rsid w:val="22922A7B"/>
    <w:rsid w:val="229478A6"/>
    <w:rsid w:val="22A03D45"/>
    <w:rsid w:val="22A42252"/>
    <w:rsid w:val="22A60967"/>
    <w:rsid w:val="22B37446"/>
    <w:rsid w:val="22BB2C46"/>
    <w:rsid w:val="22C750B8"/>
    <w:rsid w:val="22CB0F22"/>
    <w:rsid w:val="22D126DE"/>
    <w:rsid w:val="22D279A8"/>
    <w:rsid w:val="22DE275C"/>
    <w:rsid w:val="22E50259"/>
    <w:rsid w:val="22F05B87"/>
    <w:rsid w:val="23000612"/>
    <w:rsid w:val="23034661"/>
    <w:rsid w:val="23047581"/>
    <w:rsid w:val="230511FB"/>
    <w:rsid w:val="230A7C6A"/>
    <w:rsid w:val="230E6CDE"/>
    <w:rsid w:val="231D7D99"/>
    <w:rsid w:val="233F7861"/>
    <w:rsid w:val="2342728C"/>
    <w:rsid w:val="2347632E"/>
    <w:rsid w:val="234F141B"/>
    <w:rsid w:val="235408E6"/>
    <w:rsid w:val="236F7B2F"/>
    <w:rsid w:val="23774488"/>
    <w:rsid w:val="2379223B"/>
    <w:rsid w:val="23A308EE"/>
    <w:rsid w:val="23AD2144"/>
    <w:rsid w:val="23B07449"/>
    <w:rsid w:val="23BB4EE9"/>
    <w:rsid w:val="23CC55B1"/>
    <w:rsid w:val="23D60547"/>
    <w:rsid w:val="23DA1C5E"/>
    <w:rsid w:val="23EB0393"/>
    <w:rsid w:val="23EC61B5"/>
    <w:rsid w:val="23FD5BE3"/>
    <w:rsid w:val="24026629"/>
    <w:rsid w:val="24072EA9"/>
    <w:rsid w:val="2438587A"/>
    <w:rsid w:val="24386853"/>
    <w:rsid w:val="243E50DA"/>
    <w:rsid w:val="245137DB"/>
    <w:rsid w:val="246D212F"/>
    <w:rsid w:val="24715F69"/>
    <w:rsid w:val="24760A5D"/>
    <w:rsid w:val="248364AC"/>
    <w:rsid w:val="24992B5E"/>
    <w:rsid w:val="24A9218A"/>
    <w:rsid w:val="24B140D4"/>
    <w:rsid w:val="24B33FFF"/>
    <w:rsid w:val="24BE0177"/>
    <w:rsid w:val="24C569C9"/>
    <w:rsid w:val="24DE7825"/>
    <w:rsid w:val="24E61F36"/>
    <w:rsid w:val="24F17095"/>
    <w:rsid w:val="24F214B5"/>
    <w:rsid w:val="24F35147"/>
    <w:rsid w:val="24F907DC"/>
    <w:rsid w:val="250D35C2"/>
    <w:rsid w:val="252437DA"/>
    <w:rsid w:val="252A03F9"/>
    <w:rsid w:val="25324A24"/>
    <w:rsid w:val="25560FB4"/>
    <w:rsid w:val="255B68D6"/>
    <w:rsid w:val="255C6646"/>
    <w:rsid w:val="256271F2"/>
    <w:rsid w:val="256E3452"/>
    <w:rsid w:val="25821C68"/>
    <w:rsid w:val="25B022B3"/>
    <w:rsid w:val="25B74631"/>
    <w:rsid w:val="25B91E90"/>
    <w:rsid w:val="25DD4552"/>
    <w:rsid w:val="25E31950"/>
    <w:rsid w:val="25E513D9"/>
    <w:rsid w:val="25EE6A79"/>
    <w:rsid w:val="25EF43C8"/>
    <w:rsid w:val="26075FA8"/>
    <w:rsid w:val="26217AD0"/>
    <w:rsid w:val="2623756A"/>
    <w:rsid w:val="262E08BF"/>
    <w:rsid w:val="26310EA6"/>
    <w:rsid w:val="263951B2"/>
    <w:rsid w:val="263E55AD"/>
    <w:rsid w:val="264B37D3"/>
    <w:rsid w:val="26544324"/>
    <w:rsid w:val="265630C4"/>
    <w:rsid w:val="265B2B39"/>
    <w:rsid w:val="265F7A26"/>
    <w:rsid w:val="267F4FDD"/>
    <w:rsid w:val="26942FFE"/>
    <w:rsid w:val="26965DCF"/>
    <w:rsid w:val="269A23BD"/>
    <w:rsid w:val="26D609E2"/>
    <w:rsid w:val="26DE1868"/>
    <w:rsid w:val="26ED14DB"/>
    <w:rsid w:val="270F3C75"/>
    <w:rsid w:val="27157D13"/>
    <w:rsid w:val="27350175"/>
    <w:rsid w:val="27543CE2"/>
    <w:rsid w:val="2759230A"/>
    <w:rsid w:val="275C0B9C"/>
    <w:rsid w:val="276136D1"/>
    <w:rsid w:val="2766357B"/>
    <w:rsid w:val="276B7710"/>
    <w:rsid w:val="27814FF8"/>
    <w:rsid w:val="27885693"/>
    <w:rsid w:val="278E4856"/>
    <w:rsid w:val="27930B1B"/>
    <w:rsid w:val="279A6599"/>
    <w:rsid w:val="27A4419F"/>
    <w:rsid w:val="27A931B8"/>
    <w:rsid w:val="27AB7AFD"/>
    <w:rsid w:val="27B64635"/>
    <w:rsid w:val="27BD0876"/>
    <w:rsid w:val="27C42CCD"/>
    <w:rsid w:val="27C957F9"/>
    <w:rsid w:val="27CE6762"/>
    <w:rsid w:val="27DB2B16"/>
    <w:rsid w:val="27ED6C77"/>
    <w:rsid w:val="27EF2EB7"/>
    <w:rsid w:val="27F84FA1"/>
    <w:rsid w:val="27FC6995"/>
    <w:rsid w:val="28096EEE"/>
    <w:rsid w:val="28140998"/>
    <w:rsid w:val="281C525D"/>
    <w:rsid w:val="283146AB"/>
    <w:rsid w:val="2834674F"/>
    <w:rsid w:val="2838551F"/>
    <w:rsid w:val="283B40D1"/>
    <w:rsid w:val="28460713"/>
    <w:rsid w:val="284F0CAA"/>
    <w:rsid w:val="28563053"/>
    <w:rsid w:val="28590369"/>
    <w:rsid w:val="285C7146"/>
    <w:rsid w:val="285D2A4F"/>
    <w:rsid w:val="28685F9C"/>
    <w:rsid w:val="288837AF"/>
    <w:rsid w:val="288B5171"/>
    <w:rsid w:val="288C6204"/>
    <w:rsid w:val="288E62DA"/>
    <w:rsid w:val="28954CDC"/>
    <w:rsid w:val="28A96A0F"/>
    <w:rsid w:val="28B71B2C"/>
    <w:rsid w:val="28C92B51"/>
    <w:rsid w:val="28D95DFB"/>
    <w:rsid w:val="28DD5033"/>
    <w:rsid w:val="28EE7A07"/>
    <w:rsid w:val="28FE675D"/>
    <w:rsid w:val="29003A13"/>
    <w:rsid w:val="29063378"/>
    <w:rsid w:val="290C240D"/>
    <w:rsid w:val="290C7130"/>
    <w:rsid w:val="29115557"/>
    <w:rsid w:val="29115F0D"/>
    <w:rsid w:val="291D162A"/>
    <w:rsid w:val="291F3AAD"/>
    <w:rsid w:val="291F4F8E"/>
    <w:rsid w:val="292278A9"/>
    <w:rsid w:val="29284E13"/>
    <w:rsid w:val="29307D6E"/>
    <w:rsid w:val="293262FA"/>
    <w:rsid w:val="293C6591"/>
    <w:rsid w:val="294B102A"/>
    <w:rsid w:val="294D06B9"/>
    <w:rsid w:val="294E6886"/>
    <w:rsid w:val="2957531C"/>
    <w:rsid w:val="29650277"/>
    <w:rsid w:val="297E1C52"/>
    <w:rsid w:val="298C2425"/>
    <w:rsid w:val="29A113D7"/>
    <w:rsid w:val="29A14B0F"/>
    <w:rsid w:val="29C74C47"/>
    <w:rsid w:val="29CD4516"/>
    <w:rsid w:val="29E94589"/>
    <w:rsid w:val="2A155F81"/>
    <w:rsid w:val="2A1D2E9F"/>
    <w:rsid w:val="2A1E2DE0"/>
    <w:rsid w:val="2A250847"/>
    <w:rsid w:val="2A261D32"/>
    <w:rsid w:val="2A2B222C"/>
    <w:rsid w:val="2A331695"/>
    <w:rsid w:val="2A442E66"/>
    <w:rsid w:val="2A4A1ED4"/>
    <w:rsid w:val="2A553548"/>
    <w:rsid w:val="2A7049D1"/>
    <w:rsid w:val="2A970008"/>
    <w:rsid w:val="2A97006C"/>
    <w:rsid w:val="2AA07961"/>
    <w:rsid w:val="2AA60E99"/>
    <w:rsid w:val="2AAE5692"/>
    <w:rsid w:val="2AB04251"/>
    <w:rsid w:val="2AB04D93"/>
    <w:rsid w:val="2ABE7215"/>
    <w:rsid w:val="2AD215D6"/>
    <w:rsid w:val="2AD76897"/>
    <w:rsid w:val="2ADB482F"/>
    <w:rsid w:val="2AE01B62"/>
    <w:rsid w:val="2AE558B3"/>
    <w:rsid w:val="2AE8229B"/>
    <w:rsid w:val="2AE92316"/>
    <w:rsid w:val="2AEC42E5"/>
    <w:rsid w:val="2AED4F27"/>
    <w:rsid w:val="2B034D47"/>
    <w:rsid w:val="2B1B4C57"/>
    <w:rsid w:val="2B2629D8"/>
    <w:rsid w:val="2B271F5E"/>
    <w:rsid w:val="2B2D1028"/>
    <w:rsid w:val="2B2E3C18"/>
    <w:rsid w:val="2B406C5D"/>
    <w:rsid w:val="2B4D413E"/>
    <w:rsid w:val="2B557494"/>
    <w:rsid w:val="2B641C02"/>
    <w:rsid w:val="2B6F681F"/>
    <w:rsid w:val="2B8302EB"/>
    <w:rsid w:val="2B844BD6"/>
    <w:rsid w:val="2B893BA3"/>
    <w:rsid w:val="2B923A1C"/>
    <w:rsid w:val="2B992A15"/>
    <w:rsid w:val="2B9C061A"/>
    <w:rsid w:val="2B9E2538"/>
    <w:rsid w:val="2BBC1D86"/>
    <w:rsid w:val="2BC82480"/>
    <w:rsid w:val="2BEB375B"/>
    <w:rsid w:val="2BEB41DF"/>
    <w:rsid w:val="2BFB0E99"/>
    <w:rsid w:val="2C07332F"/>
    <w:rsid w:val="2C0B5FFC"/>
    <w:rsid w:val="2C0C4D11"/>
    <w:rsid w:val="2C1A5D63"/>
    <w:rsid w:val="2C2907BF"/>
    <w:rsid w:val="2C2A3701"/>
    <w:rsid w:val="2C475DBB"/>
    <w:rsid w:val="2C5A1C73"/>
    <w:rsid w:val="2C5A6041"/>
    <w:rsid w:val="2C7208C6"/>
    <w:rsid w:val="2C80477B"/>
    <w:rsid w:val="2C8362B3"/>
    <w:rsid w:val="2C852D34"/>
    <w:rsid w:val="2C8F4F35"/>
    <w:rsid w:val="2CA73FE3"/>
    <w:rsid w:val="2CAD6FE3"/>
    <w:rsid w:val="2CC91D44"/>
    <w:rsid w:val="2CD46AFB"/>
    <w:rsid w:val="2CDC2898"/>
    <w:rsid w:val="2CDC5F50"/>
    <w:rsid w:val="2CE15438"/>
    <w:rsid w:val="2CF03446"/>
    <w:rsid w:val="2D0155B6"/>
    <w:rsid w:val="2D0D651A"/>
    <w:rsid w:val="2D151F6D"/>
    <w:rsid w:val="2D1D4166"/>
    <w:rsid w:val="2D291F09"/>
    <w:rsid w:val="2D3416FA"/>
    <w:rsid w:val="2D36293A"/>
    <w:rsid w:val="2D402CFE"/>
    <w:rsid w:val="2D5152AE"/>
    <w:rsid w:val="2D555CB7"/>
    <w:rsid w:val="2D595EBC"/>
    <w:rsid w:val="2D5E586A"/>
    <w:rsid w:val="2D61248D"/>
    <w:rsid w:val="2D624904"/>
    <w:rsid w:val="2D68440E"/>
    <w:rsid w:val="2D6D5152"/>
    <w:rsid w:val="2D812190"/>
    <w:rsid w:val="2DA01735"/>
    <w:rsid w:val="2DA94150"/>
    <w:rsid w:val="2DBB0B00"/>
    <w:rsid w:val="2DD854F5"/>
    <w:rsid w:val="2DEA643F"/>
    <w:rsid w:val="2E000AC6"/>
    <w:rsid w:val="2E075C71"/>
    <w:rsid w:val="2E0C79CF"/>
    <w:rsid w:val="2E1176AC"/>
    <w:rsid w:val="2E1F06AB"/>
    <w:rsid w:val="2E26750E"/>
    <w:rsid w:val="2E2701FF"/>
    <w:rsid w:val="2E273353"/>
    <w:rsid w:val="2E2D216F"/>
    <w:rsid w:val="2E3675A2"/>
    <w:rsid w:val="2E37799D"/>
    <w:rsid w:val="2E3D2EAD"/>
    <w:rsid w:val="2E434249"/>
    <w:rsid w:val="2E51332D"/>
    <w:rsid w:val="2E613ECA"/>
    <w:rsid w:val="2EA4705E"/>
    <w:rsid w:val="2EA5244A"/>
    <w:rsid w:val="2EC872A0"/>
    <w:rsid w:val="2ECB7AE0"/>
    <w:rsid w:val="2EEA1087"/>
    <w:rsid w:val="2EEF5B78"/>
    <w:rsid w:val="2EF90C24"/>
    <w:rsid w:val="2F0E5D72"/>
    <w:rsid w:val="2F104493"/>
    <w:rsid w:val="2F134230"/>
    <w:rsid w:val="2F235269"/>
    <w:rsid w:val="2F322289"/>
    <w:rsid w:val="2F3770E3"/>
    <w:rsid w:val="2F413C94"/>
    <w:rsid w:val="2F494297"/>
    <w:rsid w:val="2F4B1C2D"/>
    <w:rsid w:val="2F691CE7"/>
    <w:rsid w:val="2F787B26"/>
    <w:rsid w:val="2F7D0DE5"/>
    <w:rsid w:val="2F7F3D54"/>
    <w:rsid w:val="2F883163"/>
    <w:rsid w:val="2F8B2E0E"/>
    <w:rsid w:val="2F907976"/>
    <w:rsid w:val="2FA442D1"/>
    <w:rsid w:val="2FBA0848"/>
    <w:rsid w:val="2FC15AF9"/>
    <w:rsid w:val="2FCF12B0"/>
    <w:rsid w:val="2FDC4E75"/>
    <w:rsid w:val="301334D4"/>
    <w:rsid w:val="301D60CF"/>
    <w:rsid w:val="302C5AB3"/>
    <w:rsid w:val="302F30EA"/>
    <w:rsid w:val="304570D6"/>
    <w:rsid w:val="30523FBD"/>
    <w:rsid w:val="3056178E"/>
    <w:rsid w:val="30571C73"/>
    <w:rsid w:val="305F2DE8"/>
    <w:rsid w:val="3063595B"/>
    <w:rsid w:val="306A1C37"/>
    <w:rsid w:val="30790CC0"/>
    <w:rsid w:val="308B7DB2"/>
    <w:rsid w:val="30943D7F"/>
    <w:rsid w:val="309460D4"/>
    <w:rsid w:val="309C7501"/>
    <w:rsid w:val="30A375B7"/>
    <w:rsid w:val="30A45AD9"/>
    <w:rsid w:val="30A559DD"/>
    <w:rsid w:val="30A70282"/>
    <w:rsid w:val="30A819D5"/>
    <w:rsid w:val="30AE3572"/>
    <w:rsid w:val="30DB63B0"/>
    <w:rsid w:val="30DC4E37"/>
    <w:rsid w:val="30DC72B8"/>
    <w:rsid w:val="30E21C94"/>
    <w:rsid w:val="30FF1022"/>
    <w:rsid w:val="30FF1DEC"/>
    <w:rsid w:val="3103748A"/>
    <w:rsid w:val="310D7287"/>
    <w:rsid w:val="31180414"/>
    <w:rsid w:val="311A500C"/>
    <w:rsid w:val="312C2F69"/>
    <w:rsid w:val="313A0372"/>
    <w:rsid w:val="31414D46"/>
    <w:rsid w:val="3162168B"/>
    <w:rsid w:val="316535BE"/>
    <w:rsid w:val="316C26E3"/>
    <w:rsid w:val="317B29B7"/>
    <w:rsid w:val="31A43590"/>
    <w:rsid w:val="31B6217A"/>
    <w:rsid w:val="31BF532C"/>
    <w:rsid w:val="31E57565"/>
    <w:rsid w:val="31F27F9B"/>
    <w:rsid w:val="31F72F19"/>
    <w:rsid w:val="321A22CD"/>
    <w:rsid w:val="321B0A03"/>
    <w:rsid w:val="32305666"/>
    <w:rsid w:val="32452FD4"/>
    <w:rsid w:val="3254692A"/>
    <w:rsid w:val="32582533"/>
    <w:rsid w:val="32601632"/>
    <w:rsid w:val="326E553C"/>
    <w:rsid w:val="32743FF8"/>
    <w:rsid w:val="328D4D87"/>
    <w:rsid w:val="328F399D"/>
    <w:rsid w:val="32921E1C"/>
    <w:rsid w:val="32946609"/>
    <w:rsid w:val="32987EA1"/>
    <w:rsid w:val="32A57DB8"/>
    <w:rsid w:val="32BA1055"/>
    <w:rsid w:val="32EC2013"/>
    <w:rsid w:val="32F7411E"/>
    <w:rsid w:val="33021368"/>
    <w:rsid w:val="33093C5C"/>
    <w:rsid w:val="33121D18"/>
    <w:rsid w:val="33133DBA"/>
    <w:rsid w:val="33294831"/>
    <w:rsid w:val="332C5A43"/>
    <w:rsid w:val="33312E9C"/>
    <w:rsid w:val="33324BBF"/>
    <w:rsid w:val="334138EA"/>
    <w:rsid w:val="33491F36"/>
    <w:rsid w:val="334A7032"/>
    <w:rsid w:val="33591EA0"/>
    <w:rsid w:val="33664E15"/>
    <w:rsid w:val="3373089A"/>
    <w:rsid w:val="33835F12"/>
    <w:rsid w:val="33883009"/>
    <w:rsid w:val="338E6C71"/>
    <w:rsid w:val="33917AD8"/>
    <w:rsid w:val="339433F2"/>
    <w:rsid w:val="339F751B"/>
    <w:rsid w:val="33B2596A"/>
    <w:rsid w:val="33BF1A08"/>
    <w:rsid w:val="33C65B01"/>
    <w:rsid w:val="33CC2F57"/>
    <w:rsid w:val="33D07732"/>
    <w:rsid w:val="33D44147"/>
    <w:rsid w:val="33DF3033"/>
    <w:rsid w:val="33E8228C"/>
    <w:rsid w:val="33F4106A"/>
    <w:rsid w:val="33FA7A53"/>
    <w:rsid w:val="33FE59C9"/>
    <w:rsid w:val="34110FF9"/>
    <w:rsid w:val="3421003E"/>
    <w:rsid w:val="34213021"/>
    <w:rsid w:val="342542D1"/>
    <w:rsid w:val="342B07D0"/>
    <w:rsid w:val="3431732F"/>
    <w:rsid w:val="34385515"/>
    <w:rsid w:val="344175CA"/>
    <w:rsid w:val="345F4740"/>
    <w:rsid w:val="346C2BDC"/>
    <w:rsid w:val="346F0383"/>
    <w:rsid w:val="347A4842"/>
    <w:rsid w:val="347C1F8E"/>
    <w:rsid w:val="348C772A"/>
    <w:rsid w:val="349A14CC"/>
    <w:rsid w:val="349E15E4"/>
    <w:rsid w:val="349E7311"/>
    <w:rsid w:val="34AC3B1F"/>
    <w:rsid w:val="34E63221"/>
    <w:rsid w:val="34EA3595"/>
    <w:rsid w:val="34F31159"/>
    <w:rsid w:val="34F61BA3"/>
    <w:rsid w:val="35015811"/>
    <w:rsid w:val="35045109"/>
    <w:rsid w:val="35063773"/>
    <w:rsid w:val="350C0171"/>
    <w:rsid w:val="35314625"/>
    <w:rsid w:val="35317422"/>
    <w:rsid w:val="3533663A"/>
    <w:rsid w:val="35544143"/>
    <w:rsid w:val="3557388E"/>
    <w:rsid w:val="35580550"/>
    <w:rsid w:val="35684E72"/>
    <w:rsid w:val="356B3947"/>
    <w:rsid w:val="357201A0"/>
    <w:rsid w:val="35830EE1"/>
    <w:rsid w:val="35AE4747"/>
    <w:rsid w:val="35D34EB8"/>
    <w:rsid w:val="35D43768"/>
    <w:rsid w:val="35E71299"/>
    <w:rsid w:val="35E72F09"/>
    <w:rsid w:val="35F26505"/>
    <w:rsid w:val="35F62105"/>
    <w:rsid w:val="35FD0561"/>
    <w:rsid w:val="36163F4D"/>
    <w:rsid w:val="361A0DD1"/>
    <w:rsid w:val="363A75C1"/>
    <w:rsid w:val="368158FA"/>
    <w:rsid w:val="368E7AA5"/>
    <w:rsid w:val="36950F43"/>
    <w:rsid w:val="369A4789"/>
    <w:rsid w:val="36B17531"/>
    <w:rsid w:val="36B46A81"/>
    <w:rsid w:val="36C223BE"/>
    <w:rsid w:val="36C257C0"/>
    <w:rsid w:val="36C62770"/>
    <w:rsid w:val="36CB0A48"/>
    <w:rsid w:val="36D44798"/>
    <w:rsid w:val="36ED1084"/>
    <w:rsid w:val="36EE6918"/>
    <w:rsid w:val="36F13745"/>
    <w:rsid w:val="36FF7CEB"/>
    <w:rsid w:val="37035782"/>
    <w:rsid w:val="370B1A19"/>
    <w:rsid w:val="371366D9"/>
    <w:rsid w:val="37185540"/>
    <w:rsid w:val="37194E97"/>
    <w:rsid w:val="371C32AC"/>
    <w:rsid w:val="371D6A40"/>
    <w:rsid w:val="371D6E54"/>
    <w:rsid w:val="37235D83"/>
    <w:rsid w:val="372F2AC3"/>
    <w:rsid w:val="373C1BA5"/>
    <w:rsid w:val="373D426B"/>
    <w:rsid w:val="374D082D"/>
    <w:rsid w:val="37836450"/>
    <w:rsid w:val="378C6E1F"/>
    <w:rsid w:val="378E57E2"/>
    <w:rsid w:val="379452EB"/>
    <w:rsid w:val="379C6437"/>
    <w:rsid w:val="37A42BA6"/>
    <w:rsid w:val="37B67EF6"/>
    <w:rsid w:val="37BF2765"/>
    <w:rsid w:val="37C3034A"/>
    <w:rsid w:val="37C716ED"/>
    <w:rsid w:val="37CC5E94"/>
    <w:rsid w:val="37D664EB"/>
    <w:rsid w:val="37FF14F7"/>
    <w:rsid w:val="38012801"/>
    <w:rsid w:val="380A2593"/>
    <w:rsid w:val="380F4764"/>
    <w:rsid w:val="380F6191"/>
    <w:rsid w:val="38166E46"/>
    <w:rsid w:val="381A0093"/>
    <w:rsid w:val="381F62A0"/>
    <w:rsid w:val="383266B3"/>
    <w:rsid w:val="3863271E"/>
    <w:rsid w:val="386C1CFB"/>
    <w:rsid w:val="38744111"/>
    <w:rsid w:val="38804766"/>
    <w:rsid w:val="38854EB2"/>
    <w:rsid w:val="388B6EBF"/>
    <w:rsid w:val="388C38C8"/>
    <w:rsid w:val="388E6306"/>
    <w:rsid w:val="3891144C"/>
    <w:rsid w:val="38A343C3"/>
    <w:rsid w:val="38C418FE"/>
    <w:rsid w:val="38C927B2"/>
    <w:rsid w:val="38CA0360"/>
    <w:rsid w:val="38CA762F"/>
    <w:rsid w:val="38D02CFA"/>
    <w:rsid w:val="38DA32F7"/>
    <w:rsid w:val="38DB2625"/>
    <w:rsid w:val="38DC63BC"/>
    <w:rsid w:val="38E40513"/>
    <w:rsid w:val="38E73213"/>
    <w:rsid w:val="38F217F7"/>
    <w:rsid w:val="38FA7B59"/>
    <w:rsid w:val="38FF405F"/>
    <w:rsid w:val="39001510"/>
    <w:rsid w:val="391A7C24"/>
    <w:rsid w:val="393853EE"/>
    <w:rsid w:val="393C349F"/>
    <w:rsid w:val="39414A49"/>
    <w:rsid w:val="39474FFC"/>
    <w:rsid w:val="39485EE8"/>
    <w:rsid w:val="3970549F"/>
    <w:rsid w:val="39A12E64"/>
    <w:rsid w:val="39A27CFB"/>
    <w:rsid w:val="39AC270E"/>
    <w:rsid w:val="39BC72AB"/>
    <w:rsid w:val="39BF0DA5"/>
    <w:rsid w:val="39D073F5"/>
    <w:rsid w:val="39D24B04"/>
    <w:rsid w:val="39E030FB"/>
    <w:rsid w:val="39E551C2"/>
    <w:rsid w:val="3A004EFB"/>
    <w:rsid w:val="3A1D668F"/>
    <w:rsid w:val="3A280D85"/>
    <w:rsid w:val="3A5C417E"/>
    <w:rsid w:val="3A6437AD"/>
    <w:rsid w:val="3A651C7C"/>
    <w:rsid w:val="3A8C19A6"/>
    <w:rsid w:val="3A985F9F"/>
    <w:rsid w:val="3A9D79B4"/>
    <w:rsid w:val="3AA60A47"/>
    <w:rsid w:val="3ABD7DB0"/>
    <w:rsid w:val="3ABE7AAF"/>
    <w:rsid w:val="3AC24EB4"/>
    <w:rsid w:val="3AC60874"/>
    <w:rsid w:val="3AC906BD"/>
    <w:rsid w:val="3AC909EA"/>
    <w:rsid w:val="3ACA79CB"/>
    <w:rsid w:val="3ACD696C"/>
    <w:rsid w:val="3AE8148A"/>
    <w:rsid w:val="3AF15211"/>
    <w:rsid w:val="3AF80E99"/>
    <w:rsid w:val="3B0048B4"/>
    <w:rsid w:val="3B13533E"/>
    <w:rsid w:val="3B1D04C9"/>
    <w:rsid w:val="3B3F122D"/>
    <w:rsid w:val="3B564493"/>
    <w:rsid w:val="3B68666D"/>
    <w:rsid w:val="3B6E6574"/>
    <w:rsid w:val="3B7457AD"/>
    <w:rsid w:val="3B7B144D"/>
    <w:rsid w:val="3B7F12F6"/>
    <w:rsid w:val="3B8108BE"/>
    <w:rsid w:val="3B920EC0"/>
    <w:rsid w:val="3B924465"/>
    <w:rsid w:val="3B9620CF"/>
    <w:rsid w:val="3B9C5361"/>
    <w:rsid w:val="3BA0337D"/>
    <w:rsid w:val="3BA53541"/>
    <w:rsid w:val="3BA94452"/>
    <w:rsid w:val="3BBA4A21"/>
    <w:rsid w:val="3BC8543C"/>
    <w:rsid w:val="3BCC289E"/>
    <w:rsid w:val="3BF36765"/>
    <w:rsid w:val="3BFC0B7A"/>
    <w:rsid w:val="3C031B6A"/>
    <w:rsid w:val="3C1A13D5"/>
    <w:rsid w:val="3C1B4DB5"/>
    <w:rsid w:val="3C1F3CDD"/>
    <w:rsid w:val="3C3318F7"/>
    <w:rsid w:val="3C5A7C30"/>
    <w:rsid w:val="3C62551B"/>
    <w:rsid w:val="3C7A34E1"/>
    <w:rsid w:val="3C857E1F"/>
    <w:rsid w:val="3C8B2EA4"/>
    <w:rsid w:val="3C925C37"/>
    <w:rsid w:val="3C98267C"/>
    <w:rsid w:val="3C9A76B6"/>
    <w:rsid w:val="3C9E137D"/>
    <w:rsid w:val="3CA02F85"/>
    <w:rsid w:val="3CA30E32"/>
    <w:rsid w:val="3CAE115E"/>
    <w:rsid w:val="3CB6404C"/>
    <w:rsid w:val="3CC85F33"/>
    <w:rsid w:val="3CCB3008"/>
    <w:rsid w:val="3CEB1A05"/>
    <w:rsid w:val="3CFC4A01"/>
    <w:rsid w:val="3D004F11"/>
    <w:rsid w:val="3D005676"/>
    <w:rsid w:val="3D0970C8"/>
    <w:rsid w:val="3D166483"/>
    <w:rsid w:val="3D230EF3"/>
    <w:rsid w:val="3D42795C"/>
    <w:rsid w:val="3D544A81"/>
    <w:rsid w:val="3D5A19A0"/>
    <w:rsid w:val="3D5D4541"/>
    <w:rsid w:val="3D606F86"/>
    <w:rsid w:val="3D6F2596"/>
    <w:rsid w:val="3D753E3B"/>
    <w:rsid w:val="3D7961D3"/>
    <w:rsid w:val="3D7B1A71"/>
    <w:rsid w:val="3D8F6A91"/>
    <w:rsid w:val="3DAD0C31"/>
    <w:rsid w:val="3DB561DF"/>
    <w:rsid w:val="3DC16634"/>
    <w:rsid w:val="3DCB2FFC"/>
    <w:rsid w:val="3DCC4627"/>
    <w:rsid w:val="3DD00AF4"/>
    <w:rsid w:val="3DD16176"/>
    <w:rsid w:val="3DD365AF"/>
    <w:rsid w:val="3DD7787E"/>
    <w:rsid w:val="3DE87386"/>
    <w:rsid w:val="3DF50B5D"/>
    <w:rsid w:val="3DFB0640"/>
    <w:rsid w:val="3E0061CE"/>
    <w:rsid w:val="3E1A5B77"/>
    <w:rsid w:val="3E3D115C"/>
    <w:rsid w:val="3E4E1DB0"/>
    <w:rsid w:val="3E575439"/>
    <w:rsid w:val="3E7A1E1B"/>
    <w:rsid w:val="3E7E76A1"/>
    <w:rsid w:val="3E802A97"/>
    <w:rsid w:val="3E816ACA"/>
    <w:rsid w:val="3E85107A"/>
    <w:rsid w:val="3E970AC1"/>
    <w:rsid w:val="3EB25E64"/>
    <w:rsid w:val="3EB57E73"/>
    <w:rsid w:val="3EBA3F51"/>
    <w:rsid w:val="3ECE6FC8"/>
    <w:rsid w:val="3ED90D52"/>
    <w:rsid w:val="3EDA32C4"/>
    <w:rsid w:val="3EE75AFB"/>
    <w:rsid w:val="3EE84598"/>
    <w:rsid w:val="3EFA1463"/>
    <w:rsid w:val="3EFB0DA2"/>
    <w:rsid w:val="3F015166"/>
    <w:rsid w:val="3F0357C2"/>
    <w:rsid w:val="3F15663C"/>
    <w:rsid w:val="3F18630F"/>
    <w:rsid w:val="3F1F4A80"/>
    <w:rsid w:val="3F2D08FC"/>
    <w:rsid w:val="3F304187"/>
    <w:rsid w:val="3F4371E9"/>
    <w:rsid w:val="3F5A272F"/>
    <w:rsid w:val="3F5B25E2"/>
    <w:rsid w:val="3F6444BF"/>
    <w:rsid w:val="3F8208BE"/>
    <w:rsid w:val="3F833743"/>
    <w:rsid w:val="3F8413AF"/>
    <w:rsid w:val="3F896205"/>
    <w:rsid w:val="3F8D42EA"/>
    <w:rsid w:val="3F903DF4"/>
    <w:rsid w:val="3F94133E"/>
    <w:rsid w:val="3FA22487"/>
    <w:rsid w:val="3FB16EF0"/>
    <w:rsid w:val="3FBE5D52"/>
    <w:rsid w:val="3FC64FBA"/>
    <w:rsid w:val="3FC97BB7"/>
    <w:rsid w:val="3FD2552F"/>
    <w:rsid w:val="3FEB354A"/>
    <w:rsid w:val="3FEC12D8"/>
    <w:rsid w:val="400021A9"/>
    <w:rsid w:val="40071F8E"/>
    <w:rsid w:val="40273EB3"/>
    <w:rsid w:val="402A0BEC"/>
    <w:rsid w:val="40385E0C"/>
    <w:rsid w:val="403917EB"/>
    <w:rsid w:val="404F7A6B"/>
    <w:rsid w:val="40592A16"/>
    <w:rsid w:val="406623B1"/>
    <w:rsid w:val="40674790"/>
    <w:rsid w:val="406831AA"/>
    <w:rsid w:val="406B17E1"/>
    <w:rsid w:val="40705D5D"/>
    <w:rsid w:val="4081152E"/>
    <w:rsid w:val="4088310A"/>
    <w:rsid w:val="408B26C8"/>
    <w:rsid w:val="4093799E"/>
    <w:rsid w:val="40970524"/>
    <w:rsid w:val="40A30E28"/>
    <w:rsid w:val="40AB266E"/>
    <w:rsid w:val="40AC6375"/>
    <w:rsid w:val="40BB53F7"/>
    <w:rsid w:val="40C765F3"/>
    <w:rsid w:val="40CB1CD0"/>
    <w:rsid w:val="40D310E0"/>
    <w:rsid w:val="40E1213A"/>
    <w:rsid w:val="40E6301D"/>
    <w:rsid w:val="41071BAC"/>
    <w:rsid w:val="41104677"/>
    <w:rsid w:val="411D3E3F"/>
    <w:rsid w:val="411E7076"/>
    <w:rsid w:val="41256FB7"/>
    <w:rsid w:val="41343624"/>
    <w:rsid w:val="4136428A"/>
    <w:rsid w:val="4154071D"/>
    <w:rsid w:val="415B4AF2"/>
    <w:rsid w:val="415E6D8D"/>
    <w:rsid w:val="41680B02"/>
    <w:rsid w:val="41920E65"/>
    <w:rsid w:val="41942D5C"/>
    <w:rsid w:val="419C5A30"/>
    <w:rsid w:val="419D110A"/>
    <w:rsid w:val="41AA6F9D"/>
    <w:rsid w:val="41C75D77"/>
    <w:rsid w:val="41CD1A27"/>
    <w:rsid w:val="41CF3183"/>
    <w:rsid w:val="41D85155"/>
    <w:rsid w:val="41DC1619"/>
    <w:rsid w:val="41E75166"/>
    <w:rsid w:val="41ED54BF"/>
    <w:rsid w:val="41F149C4"/>
    <w:rsid w:val="41FA7589"/>
    <w:rsid w:val="42153CB9"/>
    <w:rsid w:val="42160297"/>
    <w:rsid w:val="42173DAF"/>
    <w:rsid w:val="422B389D"/>
    <w:rsid w:val="422C5034"/>
    <w:rsid w:val="422F559A"/>
    <w:rsid w:val="423E28C4"/>
    <w:rsid w:val="424878B4"/>
    <w:rsid w:val="425320B6"/>
    <w:rsid w:val="42706590"/>
    <w:rsid w:val="427425EE"/>
    <w:rsid w:val="428F581C"/>
    <w:rsid w:val="4298064E"/>
    <w:rsid w:val="4299467D"/>
    <w:rsid w:val="429D346C"/>
    <w:rsid w:val="429E77EF"/>
    <w:rsid w:val="42A0076D"/>
    <w:rsid w:val="42AC5A74"/>
    <w:rsid w:val="42AD71C2"/>
    <w:rsid w:val="42AE14DC"/>
    <w:rsid w:val="42B540EF"/>
    <w:rsid w:val="42BA57D6"/>
    <w:rsid w:val="42BC003D"/>
    <w:rsid w:val="42C25CC7"/>
    <w:rsid w:val="42C772F1"/>
    <w:rsid w:val="42C843A0"/>
    <w:rsid w:val="42F20CDD"/>
    <w:rsid w:val="42F93C76"/>
    <w:rsid w:val="42FC28F1"/>
    <w:rsid w:val="430831F4"/>
    <w:rsid w:val="43090B64"/>
    <w:rsid w:val="431D6B7B"/>
    <w:rsid w:val="432E7531"/>
    <w:rsid w:val="43361880"/>
    <w:rsid w:val="434719AE"/>
    <w:rsid w:val="434941B7"/>
    <w:rsid w:val="43601A0D"/>
    <w:rsid w:val="436551FA"/>
    <w:rsid w:val="436E03AE"/>
    <w:rsid w:val="43776349"/>
    <w:rsid w:val="43A46A86"/>
    <w:rsid w:val="43B92ECB"/>
    <w:rsid w:val="43BA21AA"/>
    <w:rsid w:val="43BD281F"/>
    <w:rsid w:val="43CA6F51"/>
    <w:rsid w:val="43D73E5B"/>
    <w:rsid w:val="43E1610D"/>
    <w:rsid w:val="43E80BE6"/>
    <w:rsid w:val="43EE5166"/>
    <w:rsid w:val="43F57DBA"/>
    <w:rsid w:val="44067BEC"/>
    <w:rsid w:val="440A2EF6"/>
    <w:rsid w:val="44215206"/>
    <w:rsid w:val="442C702D"/>
    <w:rsid w:val="4431006B"/>
    <w:rsid w:val="44326FB5"/>
    <w:rsid w:val="443E1A69"/>
    <w:rsid w:val="445D7409"/>
    <w:rsid w:val="4462749F"/>
    <w:rsid w:val="44707017"/>
    <w:rsid w:val="4474621B"/>
    <w:rsid w:val="44765C62"/>
    <w:rsid w:val="44813B55"/>
    <w:rsid w:val="44995C31"/>
    <w:rsid w:val="44A76CB4"/>
    <w:rsid w:val="44AC3C12"/>
    <w:rsid w:val="44B2766E"/>
    <w:rsid w:val="44C82F04"/>
    <w:rsid w:val="44CC2B6C"/>
    <w:rsid w:val="44E51801"/>
    <w:rsid w:val="44ED06E5"/>
    <w:rsid w:val="44F315BC"/>
    <w:rsid w:val="44F36316"/>
    <w:rsid w:val="451039AB"/>
    <w:rsid w:val="452A29EE"/>
    <w:rsid w:val="452E357E"/>
    <w:rsid w:val="45336C24"/>
    <w:rsid w:val="45354401"/>
    <w:rsid w:val="453D01E5"/>
    <w:rsid w:val="454A0FCA"/>
    <w:rsid w:val="45605650"/>
    <w:rsid w:val="45727F0B"/>
    <w:rsid w:val="45811728"/>
    <w:rsid w:val="45834801"/>
    <w:rsid w:val="458B617D"/>
    <w:rsid w:val="458D0B6B"/>
    <w:rsid w:val="458F4D24"/>
    <w:rsid w:val="459C5BD8"/>
    <w:rsid w:val="45A36544"/>
    <w:rsid w:val="45A91BE1"/>
    <w:rsid w:val="45AA59A9"/>
    <w:rsid w:val="45B01F58"/>
    <w:rsid w:val="45B20B88"/>
    <w:rsid w:val="45B33D63"/>
    <w:rsid w:val="45B5636D"/>
    <w:rsid w:val="45C12874"/>
    <w:rsid w:val="45D35459"/>
    <w:rsid w:val="45D46A79"/>
    <w:rsid w:val="45D94494"/>
    <w:rsid w:val="45DB4490"/>
    <w:rsid w:val="45E13131"/>
    <w:rsid w:val="45E86B72"/>
    <w:rsid w:val="45ED56E7"/>
    <w:rsid w:val="45EF34FA"/>
    <w:rsid w:val="45F60A50"/>
    <w:rsid w:val="46036BC7"/>
    <w:rsid w:val="461C511A"/>
    <w:rsid w:val="462778C6"/>
    <w:rsid w:val="46462F04"/>
    <w:rsid w:val="46545EC0"/>
    <w:rsid w:val="46554BE7"/>
    <w:rsid w:val="465B1E86"/>
    <w:rsid w:val="465E648A"/>
    <w:rsid w:val="46604D97"/>
    <w:rsid w:val="467847A0"/>
    <w:rsid w:val="467F1518"/>
    <w:rsid w:val="46811361"/>
    <w:rsid w:val="4697740A"/>
    <w:rsid w:val="46C6208F"/>
    <w:rsid w:val="46DA12C7"/>
    <w:rsid w:val="46EE0BFE"/>
    <w:rsid w:val="46EF544C"/>
    <w:rsid w:val="46F714E0"/>
    <w:rsid w:val="46F91A62"/>
    <w:rsid w:val="471C6A14"/>
    <w:rsid w:val="473010D7"/>
    <w:rsid w:val="4732695E"/>
    <w:rsid w:val="47334610"/>
    <w:rsid w:val="4753781A"/>
    <w:rsid w:val="47650157"/>
    <w:rsid w:val="47704C93"/>
    <w:rsid w:val="47927375"/>
    <w:rsid w:val="47971FDC"/>
    <w:rsid w:val="479C1EEC"/>
    <w:rsid w:val="479D1728"/>
    <w:rsid w:val="47A928F1"/>
    <w:rsid w:val="47C806EC"/>
    <w:rsid w:val="47F0637D"/>
    <w:rsid w:val="47F40E9D"/>
    <w:rsid w:val="48125136"/>
    <w:rsid w:val="481C0CDA"/>
    <w:rsid w:val="481C6030"/>
    <w:rsid w:val="481E7A60"/>
    <w:rsid w:val="48226466"/>
    <w:rsid w:val="48252F6B"/>
    <w:rsid w:val="482C6CD1"/>
    <w:rsid w:val="483D7F83"/>
    <w:rsid w:val="4853345A"/>
    <w:rsid w:val="48622F87"/>
    <w:rsid w:val="48782922"/>
    <w:rsid w:val="48845C84"/>
    <w:rsid w:val="4886409A"/>
    <w:rsid w:val="488C1352"/>
    <w:rsid w:val="48914098"/>
    <w:rsid w:val="48973F32"/>
    <w:rsid w:val="489C44D3"/>
    <w:rsid w:val="489F483A"/>
    <w:rsid w:val="48C82BE2"/>
    <w:rsid w:val="48CB642A"/>
    <w:rsid w:val="48CE17E0"/>
    <w:rsid w:val="48F82FC3"/>
    <w:rsid w:val="48FE266D"/>
    <w:rsid w:val="49095F7E"/>
    <w:rsid w:val="490D059B"/>
    <w:rsid w:val="490D3059"/>
    <w:rsid w:val="491C2233"/>
    <w:rsid w:val="492F0C42"/>
    <w:rsid w:val="492F6EA2"/>
    <w:rsid w:val="49317DE6"/>
    <w:rsid w:val="49493DAB"/>
    <w:rsid w:val="494A394A"/>
    <w:rsid w:val="494C1910"/>
    <w:rsid w:val="49500FEB"/>
    <w:rsid w:val="49525CE3"/>
    <w:rsid w:val="49751781"/>
    <w:rsid w:val="4976679A"/>
    <w:rsid w:val="4982678C"/>
    <w:rsid w:val="49982D33"/>
    <w:rsid w:val="49C1626B"/>
    <w:rsid w:val="49C37520"/>
    <w:rsid w:val="49C4340C"/>
    <w:rsid w:val="49C4368E"/>
    <w:rsid w:val="49C46503"/>
    <w:rsid w:val="49DD7EFB"/>
    <w:rsid w:val="49E077A2"/>
    <w:rsid w:val="49E307BF"/>
    <w:rsid w:val="49F11F06"/>
    <w:rsid w:val="49F32E1B"/>
    <w:rsid w:val="49F36AE3"/>
    <w:rsid w:val="49FF1C1E"/>
    <w:rsid w:val="4A0B7057"/>
    <w:rsid w:val="4A0D65C6"/>
    <w:rsid w:val="4A280667"/>
    <w:rsid w:val="4A325FE0"/>
    <w:rsid w:val="4A3845D4"/>
    <w:rsid w:val="4A495F41"/>
    <w:rsid w:val="4A511B6E"/>
    <w:rsid w:val="4A734F9B"/>
    <w:rsid w:val="4A7C4548"/>
    <w:rsid w:val="4A863BCC"/>
    <w:rsid w:val="4A8E1463"/>
    <w:rsid w:val="4AA046CC"/>
    <w:rsid w:val="4AB043A7"/>
    <w:rsid w:val="4AC15779"/>
    <w:rsid w:val="4AD202C9"/>
    <w:rsid w:val="4ADE2C90"/>
    <w:rsid w:val="4AEA0E87"/>
    <w:rsid w:val="4AEE473A"/>
    <w:rsid w:val="4AF03277"/>
    <w:rsid w:val="4B2A6621"/>
    <w:rsid w:val="4B2F11C5"/>
    <w:rsid w:val="4B3D6072"/>
    <w:rsid w:val="4B3F449C"/>
    <w:rsid w:val="4B5B5B93"/>
    <w:rsid w:val="4B7606DB"/>
    <w:rsid w:val="4B7F2D98"/>
    <w:rsid w:val="4B850E6F"/>
    <w:rsid w:val="4B8A44B3"/>
    <w:rsid w:val="4B901389"/>
    <w:rsid w:val="4B986207"/>
    <w:rsid w:val="4B987896"/>
    <w:rsid w:val="4B9969CA"/>
    <w:rsid w:val="4BA04F33"/>
    <w:rsid w:val="4BC05ECF"/>
    <w:rsid w:val="4BD05051"/>
    <w:rsid w:val="4BF66867"/>
    <w:rsid w:val="4BFC2EA3"/>
    <w:rsid w:val="4BFE2AE1"/>
    <w:rsid w:val="4C054590"/>
    <w:rsid w:val="4C0C6994"/>
    <w:rsid w:val="4C1D5B36"/>
    <w:rsid w:val="4C292792"/>
    <w:rsid w:val="4C2C30BE"/>
    <w:rsid w:val="4C2C46A1"/>
    <w:rsid w:val="4C3A2A9D"/>
    <w:rsid w:val="4C52210E"/>
    <w:rsid w:val="4C5A4EBB"/>
    <w:rsid w:val="4C5D2EB7"/>
    <w:rsid w:val="4C662364"/>
    <w:rsid w:val="4C6B32F7"/>
    <w:rsid w:val="4C7C3579"/>
    <w:rsid w:val="4C7C49EC"/>
    <w:rsid w:val="4C7E3C6D"/>
    <w:rsid w:val="4C8A164A"/>
    <w:rsid w:val="4C8B5DCD"/>
    <w:rsid w:val="4C8D7B0E"/>
    <w:rsid w:val="4C984AEE"/>
    <w:rsid w:val="4CB629EB"/>
    <w:rsid w:val="4CBD15B4"/>
    <w:rsid w:val="4CBF03D6"/>
    <w:rsid w:val="4CBF221B"/>
    <w:rsid w:val="4CCF2277"/>
    <w:rsid w:val="4CE82EBC"/>
    <w:rsid w:val="4CFE4516"/>
    <w:rsid w:val="4CFF6DF1"/>
    <w:rsid w:val="4D014AEF"/>
    <w:rsid w:val="4D040E98"/>
    <w:rsid w:val="4D105B68"/>
    <w:rsid w:val="4D1E3273"/>
    <w:rsid w:val="4D2204B2"/>
    <w:rsid w:val="4D2B7844"/>
    <w:rsid w:val="4D513299"/>
    <w:rsid w:val="4D680CE9"/>
    <w:rsid w:val="4D800373"/>
    <w:rsid w:val="4D8D2AE5"/>
    <w:rsid w:val="4D9D5F78"/>
    <w:rsid w:val="4D9E74D1"/>
    <w:rsid w:val="4DA22392"/>
    <w:rsid w:val="4DBC2EE2"/>
    <w:rsid w:val="4DBE5704"/>
    <w:rsid w:val="4DEC4B69"/>
    <w:rsid w:val="4DF96CBC"/>
    <w:rsid w:val="4E072FEF"/>
    <w:rsid w:val="4E0B6779"/>
    <w:rsid w:val="4E0F493A"/>
    <w:rsid w:val="4E131BC5"/>
    <w:rsid w:val="4E171ADD"/>
    <w:rsid w:val="4E3A3C9A"/>
    <w:rsid w:val="4E4C233E"/>
    <w:rsid w:val="4E607661"/>
    <w:rsid w:val="4E6467C3"/>
    <w:rsid w:val="4E670F11"/>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B4D90"/>
    <w:rsid w:val="4F104156"/>
    <w:rsid w:val="4F186AC1"/>
    <w:rsid w:val="4F1E2479"/>
    <w:rsid w:val="4F2066D0"/>
    <w:rsid w:val="4F670186"/>
    <w:rsid w:val="4F6E77B9"/>
    <w:rsid w:val="4F7932B9"/>
    <w:rsid w:val="4F79613F"/>
    <w:rsid w:val="4F7A3958"/>
    <w:rsid w:val="4F7D5C29"/>
    <w:rsid w:val="4F813AF7"/>
    <w:rsid w:val="4F823122"/>
    <w:rsid w:val="4F865BE9"/>
    <w:rsid w:val="4F871A38"/>
    <w:rsid w:val="4FA1011C"/>
    <w:rsid w:val="4FA5289F"/>
    <w:rsid w:val="4FA85E0B"/>
    <w:rsid w:val="4FB13BE4"/>
    <w:rsid w:val="4FBD6EC5"/>
    <w:rsid w:val="4FBF1AB2"/>
    <w:rsid w:val="4FC02A9C"/>
    <w:rsid w:val="4FD419FE"/>
    <w:rsid w:val="4FD74E40"/>
    <w:rsid w:val="4FE42B9D"/>
    <w:rsid w:val="4FE42D47"/>
    <w:rsid w:val="4FEE175C"/>
    <w:rsid w:val="4FEF4F4B"/>
    <w:rsid w:val="50044053"/>
    <w:rsid w:val="500A0BD7"/>
    <w:rsid w:val="500E557E"/>
    <w:rsid w:val="50150A2D"/>
    <w:rsid w:val="50200100"/>
    <w:rsid w:val="50273D9F"/>
    <w:rsid w:val="503415A0"/>
    <w:rsid w:val="503B15B6"/>
    <w:rsid w:val="50413B4E"/>
    <w:rsid w:val="50446020"/>
    <w:rsid w:val="504A5F6D"/>
    <w:rsid w:val="504B661D"/>
    <w:rsid w:val="504D266B"/>
    <w:rsid w:val="504E5AC6"/>
    <w:rsid w:val="505076EF"/>
    <w:rsid w:val="505D5B88"/>
    <w:rsid w:val="505F3BD5"/>
    <w:rsid w:val="50712488"/>
    <w:rsid w:val="50757347"/>
    <w:rsid w:val="507820B7"/>
    <w:rsid w:val="508A0B34"/>
    <w:rsid w:val="50933052"/>
    <w:rsid w:val="509A0302"/>
    <w:rsid w:val="509A50A1"/>
    <w:rsid w:val="509B767D"/>
    <w:rsid w:val="50A50D46"/>
    <w:rsid w:val="50BE437A"/>
    <w:rsid w:val="50C953D1"/>
    <w:rsid w:val="50E042AF"/>
    <w:rsid w:val="50E77A58"/>
    <w:rsid w:val="511836CB"/>
    <w:rsid w:val="511A74EB"/>
    <w:rsid w:val="51394C04"/>
    <w:rsid w:val="513C5648"/>
    <w:rsid w:val="515143AB"/>
    <w:rsid w:val="515A17DC"/>
    <w:rsid w:val="51685DFA"/>
    <w:rsid w:val="51705953"/>
    <w:rsid w:val="51725D98"/>
    <w:rsid w:val="51736098"/>
    <w:rsid w:val="517B7B1C"/>
    <w:rsid w:val="51875C25"/>
    <w:rsid w:val="518C69D5"/>
    <w:rsid w:val="51AF7912"/>
    <w:rsid w:val="51B14BED"/>
    <w:rsid w:val="51B42109"/>
    <w:rsid w:val="51C67F2E"/>
    <w:rsid w:val="51C71898"/>
    <w:rsid w:val="51EE252C"/>
    <w:rsid w:val="51FA3D86"/>
    <w:rsid w:val="51FF0971"/>
    <w:rsid w:val="5200401F"/>
    <w:rsid w:val="52022698"/>
    <w:rsid w:val="52035590"/>
    <w:rsid w:val="52064582"/>
    <w:rsid w:val="52122401"/>
    <w:rsid w:val="521734BE"/>
    <w:rsid w:val="52365D1B"/>
    <w:rsid w:val="523913EB"/>
    <w:rsid w:val="523A67B8"/>
    <w:rsid w:val="52423C21"/>
    <w:rsid w:val="524A3780"/>
    <w:rsid w:val="524B1A46"/>
    <w:rsid w:val="525D5B20"/>
    <w:rsid w:val="52600B88"/>
    <w:rsid w:val="526965AA"/>
    <w:rsid w:val="52963B66"/>
    <w:rsid w:val="52A07902"/>
    <w:rsid w:val="52C13181"/>
    <w:rsid w:val="52CC3296"/>
    <w:rsid w:val="52D36A4C"/>
    <w:rsid w:val="52D71166"/>
    <w:rsid w:val="52E026D3"/>
    <w:rsid w:val="52E60C81"/>
    <w:rsid w:val="52E65388"/>
    <w:rsid w:val="52E963EC"/>
    <w:rsid w:val="52FF3969"/>
    <w:rsid w:val="531E2281"/>
    <w:rsid w:val="5357444A"/>
    <w:rsid w:val="53793823"/>
    <w:rsid w:val="537B7A51"/>
    <w:rsid w:val="53851D77"/>
    <w:rsid w:val="53870550"/>
    <w:rsid w:val="53906F76"/>
    <w:rsid w:val="539874D1"/>
    <w:rsid w:val="53A900B3"/>
    <w:rsid w:val="53B76ABF"/>
    <w:rsid w:val="53BE4BF9"/>
    <w:rsid w:val="53D37BF3"/>
    <w:rsid w:val="53D43A38"/>
    <w:rsid w:val="53D65728"/>
    <w:rsid w:val="53DB0569"/>
    <w:rsid w:val="53F06CFA"/>
    <w:rsid w:val="53FE42EB"/>
    <w:rsid w:val="53FF3ABE"/>
    <w:rsid w:val="541736C6"/>
    <w:rsid w:val="54175BE1"/>
    <w:rsid w:val="54192F65"/>
    <w:rsid w:val="541F0286"/>
    <w:rsid w:val="5445166E"/>
    <w:rsid w:val="544C17CC"/>
    <w:rsid w:val="54632332"/>
    <w:rsid w:val="546A5504"/>
    <w:rsid w:val="546F0D2A"/>
    <w:rsid w:val="547236DF"/>
    <w:rsid w:val="547664A1"/>
    <w:rsid w:val="547B4986"/>
    <w:rsid w:val="54944CE7"/>
    <w:rsid w:val="549555A5"/>
    <w:rsid w:val="54AA31FD"/>
    <w:rsid w:val="54AB289F"/>
    <w:rsid w:val="54C54CA8"/>
    <w:rsid w:val="54D62DF7"/>
    <w:rsid w:val="54E95C39"/>
    <w:rsid w:val="54F54ADE"/>
    <w:rsid w:val="54F86C7C"/>
    <w:rsid w:val="54FC00A7"/>
    <w:rsid w:val="550307CE"/>
    <w:rsid w:val="551B4BD7"/>
    <w:rsid w:val="552A54CB"/>
    <w:rsid w:val="552D2D4B"/>
    <w:rsid w:val="553426D6"/>
    <w:rsid w:val="55436523"/>
    <w:rsid w:val="554575FA"/>
    <w:rsid w:val="55496DF8"/>
    <w:rsid w:val="554E1565"/>
    <w:rsid w:val="555125B1"/>
    <w:rsid w:val="55545557"/>
    <w:rsid w:val="555E7E4C"/>
    <w:rsid w:val="556A455B"/>
    <w:rsid w:val="55852483"/>
    <w:rsid w:val="55AD541E"/>
    <w:rsid w:val="55B027EB"/>
    <w:rsid w:val="55BC338C"/>
    <w:rsid w:val="55C232F1"/>
    <w:rsid w:val="55CA20E9"/>
    <w:rsid w:val="55ED23C7"/>
    <w:rsid w:val="55F911F4"/>
    <w:rsid w:val="55FC080B"/>
    <w:rsid w:val="560C0036"/>
    <w:rsid w:val="56106B23"/>
    <w:rsid w:val="561D279B"/>
    <w:rsid w:val="563064F8"/>
    <w:rsid w:val="563279D7"/>
    <w:rsid w:val="563730ED"/>
    <w:rsid w:val="563B5487"/>
    <w:rsid w:val="563B762E"/>
    <w:rsid w:val="563C5184"/>
    <w:rsid w:val="565207DC"/>
    <w:rsid w:val="565631F5"/>
    <w:rsid w:val="566B26ED"/>
    <w:rsid w:val="566D297A"/>
    <w:rsid w:val="568E12A1"/>
    <w:rsid w:val="56915A65"/>
    <w:rsid w:val="56A63821"/>
    <w:rsid w:val="56AA0A07"/>
    <w:rsid w:val="56AA6DC0"/>
    <w:rsid w:val="56C44CD3"/>
    <w:rsid w:val="56D75436"/>
    <w:rsid w:val="56DB045D"/>
    <w:rsid w:val="56E17FE8"/>
    <w:rsid w:val="56E83A21"/>
    <w:rsid w:val="56FD192F"/>
    <w:rsid w:val="57213FE5"/>
    <w:rsid w:val="575426FE"/>
    <w:rsid w:val="575F25E8"/>
    <w:rsid w:val="576B03B3"/>
    <w:rsid w:val="578177D3"/>
    <w:rsid w:val="57AA7E41"/>
    <w:rsid w:val="57AC0C0D"/>
    <w:rsid w:val="57BC04B5"/>
    <w:rsid w:val="57C166D8"/>
    <w:rsid w:val="57D82681"/>
    <w:rsid w:val="57DE7DC1"/>
    <w:rsid w:val="57E3333D"/>
    <w:rsid w:val="57E76382"/>
    <w:rsid w:val="57E879C4"/>
    <w:rsid w:val="57EF0F97"/>
    <w:rsid w:val="57F17A1A"/>
    <w:rsid w:val="58175C49"/>
    <w:rsid w:val="581B09AF"/>
    <w:rsid w:val="582736FC"/>
    <w:rsid w:val="582E227B"/>
    <w:rsid w:val="583C79A9"/>
    <w:rsid w:val="583D0933"/>
    <w:rsid w:val="584677BD"/>
    <w:rsid w:val="585D5B14"/>
    <w:rsid w:val="58677C2C"/>
    <w:rsid w:val="5872028B"/>
    <w:rsid w:val="588459A1"/>
    <w:rsid w:val="588F2A57"/>
    <w:rsid w:val="58983966"/>
    <w:rsid w:val="589E3B99"/>
    <w:rsid w:val="589F3533"/>
    <w:rsid w:val="58AC162C"/>
    <w:rsid w:val="58CA78F9"/>
    <w:rsid w:val="58D46D1B"/>
    <w:rsid w:val="58EB54CA"/>
    <w:rsid w:val="58ED6EF8"/>
    <w:rsid w:val="58F5414C"/>
    <w:rsid w:val="58F5528E"/>
    <w:rsid w:val="58FF6291"/>
    <w:rsid w:val="590B15D2"/>
    <w:rsid w:val="59143609"/>
    <w:rsid w:val="592C48F9"/>
    <w:rsid w:val="593261D2"/>
    <w:rsid w:val="59423730"/>
    <w:rsid w:val="5944467A"/>
    <w:rsid w:val="59506815"/>
    <w:rsid w:val="59517F98"/>
    <w:rsid w:val="59586CE1"/>
    <w:rsid w:val="595A6E9E"/>
    <w:rsid w:val="596D1E5C"/>
    <w:rsid w:val="596F2E06"/>
    <w:rsid w:val="597E00DF"/>
    <w:rsid w:val="5980128D"/>
    <w:rsid w:val="59822219"/>
    <w:rsid w:val="59A307F2"/>
    <w:rsid w:val="59AA5B63"/>
    <w:rsid w:val="59C61854"/>
    <w:rsid w:val="59E81791"/>
    <w:rsid w:val="59FB6BE2"/>
    <w:rsid w:val="5A015B86"/>
    <w:rsid w:val="5A06033D"/>
    <w:rsid w:val="5A0A28D6"/>
    <w:rsid w:val="5A0E79AC"/>
    <w:rsid w:val="5A0F0265"/>
    <w:rsid w:val="5A123B05"/>
    <w:rsid w:val="5A142254"/>
    <w:rsid w:val="5A1C50E2"/>
    <w:rsid w:val="5A496BD5"/>
    <w:rsid w:val="5A4B2EA3"/>
    <w:rsid w:val="5A6934B1"/>
    <w:rsid w:val="5A8D4FC0"/>
    <w:rsid w:val="5A8F1C82"/>
    <w:rsid w:val="5AA04D8D"/>
    <w:rsid w:val="5AA333BB"/>
    <w:rsid w:val="5AB53D99"/>
    <w:rsid w:val="5ABD694F"/>
    <w:rsid w:val="5AC4773A"/>
    <w:rsid w:val="5ACB1912"/>
    <w:rsid w:val="5ACF620B"/>
    <w:rsid w:val="5AD85D6C"/>
    <w:rsid w:val="5AFF5DE6"/>
    <w:rsid w:val="5B111BFC"/>
    <w:rsid w:val="5B1D47A6"/>
    <w:rsid w:val="5B1E6976"/>
    <w:rsid w:val="5B230D86"/>
    <w:rsid w:val="5B2F4CAA"/>
    <w:rsid w:val="5B4026E8"/>
    <w:rsid w:val="5B4516CD"/>
    <w:rsid w:val="5B482E24"/>
    <w:rsid w:val="5B4A5E01"/>
    <w:rsid w:val="5B5A4228"/>
    <w:rsid w:val="5B650880"/>
    <w:rsid w:val="5B686AC1"/>
    <w:rsid w:val="5B6D31BC"/>
    <w:rsid w:val="5B853A54"/>
    <w:rsid w:val="5B8B1199"/>
    <w:rsid w:val="5B9D08DB"/>
    <w:rsid w:val="5BAD5A86"/>
    <w:rsid w:val="5BB732F0"/>
    <w:rsid w:val="5BCD41C3"/>
    <w:rsid w:val="5BD429A6"/>
    <w:rsid w:val="5C0025C0"/>
    <w:rsid w:val="5C0138F0"/>
    <w:rsid w:val="5C180007"/>
    <w:rsid w:val="5C2B06C5"/>
    <w:rsid w:val="5C5F07FA"/>
    <w:rsid w:val="5C6001EB"/>
    <w:rsid w:val="5C64023D"/>
    <w:rsid w:val="5C6D1CB7"/>
    <w:rsid w:val="5C731C61"/>
    <w:rsid w:val="5C7625DE"/>
    <w:rsid w:val="5C7C5FA3"/>
    <w:rsid w:val="5C8005B3"/>
    <w:rsid w:val="5C9050DF"/>
    <w:rsid w:val="5C9A4DB7"/>
    <w:rsid w:val="5CA00536"/>
    <w:rsid w:val="5CAB3E64"/>
    <w:rsid w:val="5CC016AB"/>
    <w:rsid w:val="5CC3616D"/>
    <w:rsid w:val="5CC453C1"/>
    <w:rsid w:val="5CE07B6A"/>
    <w:rsid w:val="5CE61EE8"/>
    <w:rsid w:val="5D0728CF"/>
    <w:rsid w:val="5D1A01CE"/>
    <w:rsid w:val="5D1A39EE"/>
    <w:rsid w:val="5D280F3C"/>
    <w:rsid w:val="5D411FCB"/>
    <w:rsid w:val="5D460803"/>
    <w:rsid w:val="5D475E27"/>
    <w:rsid w:val="5D494B70"/>
    <w:rsid w:val="5D5C7688"/>
    <w:rsid w:val="5D615C0F"/>
    <w:rsid w:val="5D762C66"/>
    <w:rsid w:val="5D844DB8"/>
    <w:rsid w:val="5D865E73"/>
    <w:rsid w:val="5D9F7EE8"/>
    <w:rsid w:val="5DA93319"/>
    <w:rsid w:val="5DB079D9"/>
    <w:rsid w:val="5DB156E1"/>
    <w:rsid w:val="5DBD4A5D"/>
    <w:rsid w:val="5DD65619"/>
    <w:rsid w:val="5DEF6B62"/>
    <w:rsid w:val="5DF47982"/>
    <w:rsid w:val="5E002949"/>
    <w:rsid w:val="5E0C5358"/>
    <w:rsid w:val="5E224225"/>
    <w:rsid w:val="5E2732CD"/>
    <w:rsid w:val="5E284D50"/>
    <w:rsid w:val="5E294B38"/>
    <w:rsid w:val="5E336F39"/>
    <w:rsid w:val="5E3723C6"/>
    <w:rsid w:val="5E501252"/>
    <w:rsid w:val="5E723BE9"/>
    <w:rsid w:val="5E7464E9"/>
    <w:rsid w:val="5E7E4092"/>
    <w:rsid w:val="5E8E6492"/>
    <w:rsid w:val="5E923ECD"/>
    <w:rsid w:val="5EC00B79"/>
    <w:rsid w:val="5ED871EF"/>
    <w:rsid w:val="5EF5653C"/>
    <w:rsid w:val="5EFF2762"/>
    <w:rsid w:val="5F045F3A"/>
    <w:rsid w:val="5F0D642C"/>
    <w:rsid w:val="5F17008D"/>
    <w:rsid w:val="5F1C3DD8"/>
    <w:rsid w:val="5F3037DB"/>
    <w:rsid w:val="5F352FDE"/>
    <w:rsid w:val="5F3C716D"/>
    <w:rsid w:val="5F467922"/>
    <w:rsid w:val="5F4F4D0F"/>
    <w:rsid w:val="5F510312"/>
    <w:rsid w:val="5F5B59FB"/>
    <w:rsid w:val="5F5F081B"/>
    <w:rsid w:val="5F704D56"/>
    <w:rsid w:val="5F777336"/>
    <w:rsid w:val="5F8538FA"/>
    <w:rsid w:val="5F862DF9"/>
    <w:rsid w:val="5F893820"/>
    <w:rsid w:val="5FA257C6"/>
    <w:rsid w:val="5FB47FA0"/>
    <w:rsid w:val="5FB57D4D"/>
    <w:rsid w:val="5FC6541D"/>
    <w:rsid w:val="5FCD3868"/>
    <w:rsid w:val="5FEE3BAD"/>
    <w:rsid w:val="5FF20BF7"/>
    <w:rsid w:val="5FF450F9"/>
    <w:rsid w:val="60085D9F"/>
    <w:rsid w:val="600F70A7"/>
    <w:rsid w:val="601E7125"/>
    <w:rsid w:val="60205F90"/>
    <w:rsid w:val="60217FCF"/>
    <w:rsid w:val="603F6E4B"/>
    <w:rsid w:val="604D1512"/>
    <w:rsid w:val="60512BA9"/>
    <w:rsid w:val="60595131"/>
    <w:rsid w:val="6061371C"/>
    <w:rsid w:val="606D2E98"/>
    <w:rsid w:val="607A2D9D"/>
    <w:rsid w:val="608E2F6C"/>
    <w:rsid w:val="60A02EB1"/>
    <w:rsid w:val="60BF382B"/>
    <w:rsid w:val="60C75F81"/>
    <w:rsid w:val="60C816A5"/>
    <w:rsid w:val="60CC3DDB"/>
    <w:rsid w:val="60D75071"/>
    <w:rsid w:val="60DC4E84"/>
    <w:rsid w:val="60EC3C37"/>
    <w:rsid w:val="60F71F40"/>
    <w:rsid w:val="60FB2835"/>
    <w:rsid w:val="61247218"/>
    <w:rsid w:val="612B107A"/>
    <w:rsid w:val="613D07C4"/>
    <w:rsid w:val="615C0F34"/>
    <w:rsid w:val="615C14A6"/>
    <w:rsid w:val="615F6AC2"/>
    <w:rsid w:val="61672ABF"/>
    <w:rsid w:val="617A5318"/>
    <w:rsid w:val="617C1D66"/>
    <w:rsid w:val="618B3212"/>
    <w:rsid w:val="61A058F7"/>
    <w:rsid w:val="61A93693"/>
    <w:rsid w:val="61AC3E95"/>
    <w:rsid w:val="61B66917"/>
    <w:rsid w:val="61BC3B1A"/>
    <w:rsid w:val="61C25BC0"/>
    <w:rsid w:val="61CD4121"/>
    <w:rsid w:val="61DA7B1F"/>
    <w:rsid w:val="61E107FF"/>
    <w:rsid w:val="61F2159D"/>
    <w:rsid w:val="61F4098A"/>
    <w:rsid w:val="62053CDF"/>
    <w:rsid w:val="62057120"/>
    <w:rsid w:val="62082A4E"/>
    <w:rsid w:val="6232252A"/>
    <w:rsid w:val="6239245F"/>
    <w:rsid w:val="623C28E2"/>
    <w:rsid w:val="623F05F8"/>
    <w:rsid w:val="626D6E03"/>
    <w:rsid w:val="627516A4"/>
    <w:rsid w:val="62855646"/>
    <w:rsid w:val="628E58B3"/>
    <w:rsid w:val="62BD3674"/>
    <w:rsid w:val="62CA193B"/>
    <w:rsid w:val="62D30A87"/>
    <w:rsid w:val="62D53BF4"/>
    <w:rsid w:val="62F64193"/>
    <w:rsid w:val="62FD0BCE"/>
    <w:rsid w:val="6309403A"/>
    <w:rsid w:val="630A4626"/>
    <w:rsid w:val="631E0963"/>
    <w:rsid w:val="631E6275"/>
    <w:rsid w:val="6321622C"/>
    <w:rsid w:val="632A4326"/>
    <w:rsid w:val="632C7922"/>
    <w:rsid w:val="633A34E2"/>
    <w:rsid w:val="634342ED"/>
    <w:rsid w:val="63483DC6"/>
    <w:rsid w:val="634C2265"/>
    <w:rsid w:val="63571B49"/>
    <w:rsid w:val="635F2ADA"/>
    <w:rsid w:val="63610183"/>
    <w:rsid w:val="6367085D"/>
    <w:rsid w:val="636A45E1"/>
    <w:rsid w:val="637543E9"/>
    <w:rsid w:val="637947A5"/>
    <w:rsid w:val="638E6D4D"/>
    <w:rsid w:val="63A32F36"/>
    <w:rsid w:val="63BD4B8F"/>
    <w:rsid w:val="63C82D94"/>
    <w:rsid w:val="63D0005D"/>
    <w:rsid w:val="63D15554"/>
    <w:rsid w:val="63D81C8F"/>
    <w:rsid w:val="63DE5D65"/>
    <w:rsid w:val="63DF6605"/>
    <w:rsid w:val="63E23D45"/>
    <w:rsid w:val="63F03EA8"/>
    <w:rsid w:val="63F95413"/>
    <w:rsid w:val="64087707"/>
    <w:rsid w:val="64337DBE"/>
    <w:rsid w:val="64375BD1"/>
    <w:rsid w:val="643F6D4B"/>
    <w:rsid w:val="64456269"/>
    <w:rsid w:val="64467B93"/>
    <w:rsid w:val="64511EDE"/>
    <w:rsid w:val="64630D1E"/>
    <w:rsid w:val="6478176D"/>
    <w:rsid w:val="64835CDD"/>
    <w:rsid w:val="6486251A"/>
    <w:rsid w:val="64AB2A66"/>
    <w:rsid w:val="64B7605C"/>
    <w:rsid w:val="64BD6580"/>
    <w:rsid w:val="64C06379"/>
    <w:rsid w:val="64DA5521"/>
    <w:rsid w:val="64E205AE"/>
    <w:rsid w:val="64E93EF1"/>
    <w:rsid w:val="64F17473"/>
    <w:rsid w:val="650C61D5"/>
    <w:rsid w:val="650D3C56"/>
    <w:rsid w:val="652564C3"/>
    <w:rsid w:val="652B096E"/>
    <w:rsid w:val="65326763"/>
    <w:rsid w:val="65357589"/>
    <w:rsid w:val="654A0542"/>
    <w:rsid w:val="65514FB8"/>
    <w:rsid w:val="65530E49"/>
    <w:rsid w:val="65551112"/>
    <w:rsid w:val="656A3FF0"/>
    <w:rsid w:val="6571050F"/>
    <w:rsid w:val="657D479F"/>
    <w:rsid w:val="65834C72"/>
    <w:rsid w:val="658573D0"/>
    <w:rsid w:val="658B678B"/>
    <w:rsid w:val="659858FF"/>
    <w:rsid w:val="65A71F82"/>
    <w:rsid w:val="65C649BC"/>
    <w:rsid w:val="65E01A30"/>
    <w:rsid w:val="65E55EB8"/>
    <w:rsid w:val="65E73B66"/>
    <w:rsid w:val="66022F90"/>
    <w:rsid w:val="66044FCB"/>
    <w:rsid w:val="66131984"/>
    <w:rsid w:val="66187135"/>
    <w:rsid w:val="66192E8F"/>
    <w:rsid w:val="662831A9"/>
    <w:rsid w:val="662C4F94"/>
    <w:rsid w:val="66313D38"/>
    <w:rsid w:val="6638201B"/>
    <w:rsid w:val="664A22D3"/>
    <w:rsid w:val="665C0518"/>
    <w:rsid w:val="66622660"/>
    <w:rsid w:val="66787D6F"/>
    <w:rsid w:val="66840B85"/>
    <w:rsid w:val="66A110F8"/>
    <w:rsid w:val="66A364FB"/>
    <w:rsid w:val="66B02E9B"/>
    <w:rsid w:val="66B64202"/>
    <w:rsid w:val="66C17236"/>
    <w:rsid w:val="66C2270A"/>
    <w:rsid w:val="66D7305F"/>
    <w:rsid w:val="66E03EF6"/>
    <w:rsid w:val="66E16576"/>
    <w:rsid w:val="66E33C2D"/>
    <w:rsid w:val="66FE6FC6"/>
    <w:rsid w:val="66FF12A8"/>
    <w:rsid w:val="66FF1E88"/>
    <w:rsid w:val="66FF6B44"/>
    <w:rsid w:val="67090219"/>
    <w:rsid w:val="670E61EE"/>
    <w:rsid w:val="670E7C43"/>
    <w:rsid w:val="671234BB"/>
    <w:rsid w:val="67184FB0"/>
    <w:rsid w:val="671A4A9C"/>
    <w:rsid w:val="671B4A83"/>
    <w:rsid w:val="671F7760"/>
    <w:rsid w:val="67365593"/>
    <w:rsid w:val="67427945"/>
    <w:rsid w:val="674A4D32"/>
    <w:rsid w:val="67505CEF"/>
    <w:rsid w:val="675146C8"/>
    <w:rsid w:val="675E2E45"/>
    <w:rsid w:val="676811E7"/>
    <w:rsid w:val="678164D2"/>
    <w:rsid w:val="67880ECE"/>
    <w:rsid w:val="67903975"/>
    <w:rsid w:val="679F6750"/>
    <w:rsid w:val="67AF4AEE"/>
    <w:rsid w:val="67BC006F"/>
    <w:rsid w:val="67BE206C"/>
    <w:rsid w:val="67BE34F4"/>
    <w:rsid w:val="67CF00A6"/>
    <w:rsid w:val="67D079BF"/>
    <w:rsid w:val="67D7321C"/>
    <w:rsid w:val="67DA02E7"/>
    <w:rsid w:val="67E04310"/>
    <w:rsid w:val="67E25FA2"/>
    <w:rsid w:val="67F21DDC"/>
    <w:rsid w:val="67F96D07"/>
    <w:rsid w:val="67FB2BA9"/>
    <w:rsid w:val="680872C5"/>
    <w:rsid w:val="68121D83"/>
    <w:rsid w:val="68233C28"/>
    <w:rsid w:val="682B16F7"/>
    <w:rsid w:val="682D47C1"/>
    <w:rsid w:val="683744CE"/>
    <w:rsid w:val="6857498B"/>
    <w:rsid w:val="68612CB6"/>
    <w:rsid w:val="68667455"/>
    <w:rsid w:val="68A23115"/>
    <w:rsid w:val="68AF7BA7"/>
    <w:rsid w:val="68CE29AC"/>
    <w:rsid w:val="68E34076"/>
    <w:rsid w:val="68E65681"/>
    <w:rsid w:val="68F145B5"/>
    <w:rsid w:val="68FA5214"/>
    <w:rsid w:val="69042888"/>
    <w:rsid w:val="6906197A"/>
    <w:rsid w:val="690C637F"/>
    <w:rsid w:val="690E74CE"/>
    <w:rsid w:val="692A17F3"/>
    <w:rsid w:val="692A799A"/>
    <w:rsid w:val="69360DF4"/>
    <w:rsid w:val="693B629B"/>
    <w:rsid w:val="6944008E"/>
    <w:rsid w:val="69477B83"/>
    <w:rsid w:val="69523226"/>
    <w:rsid w:val="69643DE1"/>
    <w:rsid w:val="696F6003"/>
    <w:rsid w:val="696F7D1E"/>
    <w:rsid w:val="697C15FE"/>
    <w:rsid w:val="699B1540"/>
    <w:rsid w:val="699D4818"/>
    <w:rsid w:val="69C27972"/>
    <w:rsid w:val="69C43979"/>
    <w:rsid w:val="69D00515"/>
    <w:rsid w:val="69DC5EE6"/>
    <w:rsid w:val="69E36773"/>
    <w:rsid w:val="6A0B7E27"/>
    <w:rsid w:val="6A0E6284"/>
    <w:rsid w:val="6A15604C"/>
    <w:rsid w:val="6A2E4954"/>
    <w:rsid w:val="6A3014CE"/>
    <w:rsid w:val="6A557CF7"/>
    <w:rsid w:val="6A5859DD"/>
    <w:rsid w:val="6A5C2DE6"/>
    <w:rsid w:val="6A6A771D"/>
    <w:rsid w:val="6A6E396D"/>
    <w:rsid w:val="6A7E2CA7"/>
    <w:rsid w:val="6AA507AA"/>
    <w:rsid w:val="6AC9421D"/>
    <w:rsid w:val="6AD53613"/>
    <w:rsid w:val="6AD94F47"/>
    <w:rsid w:val="6AE641A3"/>
    <w:rsid w:val="6AE91DBD"/>
    <w:rsid w:val="6AEF29C9"/>
    <w:rsid w:val="6B281153"/>
    <w:rsid w:val="6B4227D3"/>
    <w:rsid w:val="6B4C3B26"/>
    <w:rsid w:val="6B567314"/>
    <w:rsid w:val="6B5F1839"/>
    <w:rsid w:val="6B6162D1"/>
    <w:rsid w:val="6B7747FD"/>
    <w:rsid w:val="6B825404"/>
    <w:rsid w:val="6B884BD1"/>
    <w:rsid w:val="6B8D6111"/>
    <w:rsid w:val="6B9C3AE5"/>
    <w:rsid w:val="6BA924EB"/>
    <w:rsid w:val="6BB3693A"/>
    <w:rsid w:val="6BB3754C"/>
    <w:rsid w:val="6BC86908"/>
    <w:rsid w:val="6BCE245B"/>
    <w:rsid w:val="6BDB0A87"/>
    <w:rsid w:val="6BEA4475"/>
    <w:rsid w:val="6BEB5350"/>
    <w:rsid w:val="6BEC7C68"/>
    <w:rsid w:val="6BFE6367"/>
    <w:rsid w:val="6C39658E"/>
    <w:rsid w:val="6C4C2667"/>
    <w:rsid w:val="6C924478"/>
    <w:rsid w:val="6CA51813"/>
    <w:rsid w:val="6CB17A00"/>
    <w:rsid w:val="6CBB4A04"/>
    <w:rsid w:val="6CCA6D7E"/>
    <w:rsid w:val="6CD40BE1"/>
    <w:rsid w:val="6CD46A9B"/>
    <w:rsid w:val="6CDA49A3"/>
    <w:rsid w:val="6CEC01FF"/>
    <w:rsid w:val="6CED7FA5"/>
    <w:rsid w:val="6CF00038"/>
    <w:rsid w:val="6CF36133"/>
    <w:rsid w:val="6CF46980"/>
    <w:rsid w:val="6D003617"/>
    <w:rsid w:val="6D27071C"/>
    <w:rsid w:val="6D2C0194"/>
    <w:rsid w:val="6D305B8F"/>
    <w:rsid w:val="6D314932"/>
    <w:rsid w:val="6D32233D"/>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63E53"/>
    <w:rsid w:val="6DC02270"/>
    <w:rsid w:val="6DC147C6"/>
    <w:rsid w:val="6DD1076A"/>
    <w:rsid w:val="6DDE3DAF"/>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602E9"/>
    <w:rsid w:val="6E6D6615"/>
    <w:rsid w:val="6E6F5C52"/>
    <w:rsid w:val="6E874588"/>
    <w:rsid w:val="6E8C7A11"/>
    <w:rsid w:val="6E9644A1"/>
    <w:rsid w:val="6E997B27"/>
    <w:rsid w:val="6EA567C2"/>
    <w:rsid w:val="6EAC6909"/>
    <w:rsid w:val="6EBA6E94"/>
    <w:rsid w:val="6EBD64D7"/>
    <w:rsid w:val="6EBE142B"/>
    <w:rsid w:val="6EC95E71"/>
    <w:rsid w:val="6ECF4331"/>
    <w:rsid w:val="6ED72028"/>
    <w:rsid w:val="6ED8575C"/>
    <w:rsid w:val="6EDC5043"/>
    <w:rsid w:val="6EDD3888"/>
    <w:rsid w:val="6EE13724"/>
    <w:rsid w:val="6EE24ED6"/>
    <w:rsid w:val="6EEC1C0D"/>
    <w:rsid w:val="6EEF7332"/>
    <w:rsid w:val="6EF16478"/>
    <w:rsid w:val="6EF74B3E"/>
    <w:rsid w:val="6EFC0773"/>
    <w:rsid w:val="6F005353"/>
    <w:rsid w:val="6F02009A"/>
    <w:rsid w:val="6F04369B"/>
    <w:rsid w:val="6F0818E0"/>
    <w:rsid w:val="6F103FEE"/>
    <w:rsid w:val="6F14633B"/>
    <w:rsid w:val="6F2D66D6"/>
    <w:rsid w:val="6F2F326F"/>
    <w:rsid w:val="6F4337FE"/>
    <w:rsid w:val="6F606ADB"/>
    <w:rsid w:val="6F607D06"/>
    <w:rsid w:val="6F6C53DE"/>
    <w:rsid w:val="6F757C9C"/>
    <w:rsid w:val="6F7A0A72"/>
    <w:rsid w:val="6F8323D0"/>
    <w:rsid w:val="6F981439"/>
    <w:rsid w:val="6F9A5B3E"/>
    <w:rsid w:val="6FB23A01"/>
    <w:rsid w:val="6FBA4BA1"/>
    <w:rsid w:val="6FBC778D"/>
    <w:rsid w:val="6FC3482B"/>
    <w:rsid w:val="6FDC4815"/>
    <w:rsid w:val="6FEA3E2C"/>
    <w:rsid w:val="6FEB04D5"/>
    <w:rsid w:val="701241A0"/>
    <w:rsid w:val="70131D89"/>
    <w:rsid w:val="7023365C"/>
    <w:rsid w:val="702603AF"/>
    <w:rsid w:val="7031023D"/>
    <w:rsid w:val="70531F9D"/>
    <w:rsid w:val="705E3F40"/>
    <w:rsid w:val="70726E65"/>
    <w:rsid w:val="70CC398E"/>
    <w:rsid w:val="70D0428E"/>
    <w:rsid w:val="70DB4B36"/>
    <w:rsid w:val="70E040A3"/>
    <w:rsid w:val="70E13200"/>
    <w:rsid w:val="70E91C33"/>
    <w:rsid w:val="70FF3D31"/>
    <w:rsid w:val="710A1D78"/>
    <w:rsid w:val="710B7588"/>
    <w:rsid w:val="71124891"/>
    <w:rsid w:val="7139612D"/>
    <w:rsid w:val="714420CD"/>
    <w:rsid w:val="71466AC5"/>
    <w:rsid w:val="71546923"/>
    <w:rsid w:val="715F4C2D"/>
    <w:rsid w:val="716E56FB"/>
    <w:rsid w:val="71730FAE"/>
    <w:rsid w:val="71742846"/>
    <w:rsid w:val="71841719"/>
    <w:rsid w:val="719B56EF"/>
    <w:rsid w:val="71B15C2B"/>
    <w:rsid w:val="71E27EA1"/>
    <w:rsid w:val="71FA4057"/>
    <w:rsid w:val="7201663A"/>
    <w:rsid w:val="72024D75"/>
    <w:rsid w:val="72026398"/>
    <w:rsid w:val="72090A39"/>
    <w:rsid w:val="7225430E"/>
    <w:rsid w:val="722B1C0D"/>
    <w:rsid w:val="722B4090"/>
    <w:rsid w:val="723F5976"/>
    <w:rsid w:val="724530CF"/>
    <w:rsid w:val="7247318D"/>
    <w:rsid w:val="72607C33"/>
    <w:rsid w:val="7267558B"/>
    <w:rsid w:val="726D03AB"/>
    <w:rsid w:val="7275552C"/>
    <w:rsid w:val="72766BB2"/>
    <w:rsid w:val="72944739"/>
    <w:rsid w:val="72A97A08"/>
    <w:rsid w:val="72CB7F46"/>
    <w:rsid w:val="72D337E3"/>
    <w:rsid w:val="72D84E60"/>
    <w:rsid w:val="72E21F9E"/>
    <w:rsid w:val="72F100A8"/>
    <w:rsid w:val="72FA6C6A"/>
    <w:rsid w:val="72FB43B2"/>
    <w:rsid w:val="7303081C"/>
    <w:rsid w:val="73121CB7"/>
    <w:rsid w:val="73127898"/>
    <w:rsid w:val="73134E8E"/>
    <w:rsid w:val="731F2161"/>
    <w:rsid w:val="732716BC"/>
    <w:rsid w:val="735344A6"/>
    <w:rsid w:val="736175D9"/>
    <w:rsid w:val="736816C1"/>
    <w:rsid w:val="737B0183"/>
    <w:rsid w:val="7381208C"/>
    <w:rsid w:val="73841927"/>
    <w:rsid w:val="738A7955"/>
    <w:rsid w:val="73A36DC3"/>
    <w:rsid w:val="73A64530"/>
    <w:rsid w:val="73B33483"/>
    <w:rsid w:val="73DE4D67"/>
    <w:rsid w:val="73F310C6"/>
    <w:rsid w:val="73FC6BEB"/>
    <w:rsid w:val="74016246"/>
    <w:rsid w:val="741255AF"/>
    <w:rsid w:val="744D0079"/>
    <w:rsid w:val="745A4881"/>
    <w:rsid w:val="745C121D"/>
    <w:rsid w:val="746D0FDE"/>
    <w:rsid w:val="746F3109"/>
    <w:rsid w:val="74881C43"/>
    <w:rsid w:val="749A55E5"/>
    <w:rsid w:val="74AF0310"/>
    <w:rsid w:val="74B3391B"/>
    <w:rsid w:val="74CF4EC9"/>
    <w:rsid w:val="74D552C0"/>
    <w:rsid w:val="74DB0C49"/>
    <w:rsid w:val="74E03EAC"/>
    <w:rsid w:val="74E40DB3"/>
    <w:rsid w:val="74F1132B"/>
    <w:rsid w:val="7514569D"/>
    <w:rsid w:val="751B5F96"/>
    <w:rsid w:val="75310AD0"/>
    <w:rsid w:val="754A646A"/>
    <w:rsid w:val="75565B5F"/>
    <w:rsid w:val="755A08D5"/>
    <w:rsid w:val="755C4C37"/>
    <w:rsid w:val="75622CB1"/>
    <w:rsid w:val="75772547"/>
    <w:rsid w:val="75997C5C"/>
    <w:rsid w:val="759A1D67"/>
    <w:rsid w:val="75B33C4A"/>
    <w:rsid w:val="75B84A01"/>
    <w:rsid w:val="75C863E2"/>
    <w:rsid w:val="75DA5365"/>
    <w:rsid w:val="75DE03EB"/>
    <w:rsid w:val="75EA7032"/>
    <w:rsid w:val="75EC44C9"/>
    <w:rsid w:val="75F71CA5"/>
    <w:rsid w:val="760501BE"/>
    <w:rsid w:val="760C1517"/>
    <w:rsid w:val="7611078B"/>
    <w:rsid w:val="761A2E8D"/>
    <w:rsid w:val="762144FC"/>
    <w:rsid w:val="7628164D"/>
    <w:rsid w:val="76375AC5"/>
    <w:rsid w:val="76427692"/>
    <w:rsid w:val="76475DB4"/>
    <w:rsid w:val="765062E5"/>
    <w:rsid w:val="765D3045"/>
    <w:rsid w:val="76725203"/>
    <w:rsid w:val="767263E3"/>
    <w:rsid w:val="767955BC"/>
    <w:rsid w:val="767F6735"/>
    <w:rsid w:val="7689098F"/>
    <w:rsid w:val="768D7CD7"/>
    <w:rsid w:val="76902E4B"/>
    <w:rsid w:val="769E1AAD"/>
    <w:rsid w:val="76A17FB6"/>
    <w:rsid w:val="76C2056E"/>
    <w:rsid w:val="76CE079E"/>
    <w:rsid w:val="76E26771"/>
    <w:rsid w:val="770D0D85"/>
    <w:rsid w:val="770D2AFC"/>
    <w:rsid w:val="771A18F3"/>
    <w:rsid w:val="771B710A"/>
    <w:rsid w:val="77245AA8"/>
    <w:rsid w:val="772870FB"/>
    <w:rsid w:val="773D2757"/>
    <w:rsid w:val="77430B38"/>
    <w:rsid w:val="774B7FB7"/>
    <w:rsid w:val="774D1291"/>
    <w:rsid w:val="77504D2A"/>
    <w:rsid w:val="77525F7C"/>
    <w:rsid w:val="775E0582"/>
    <w:rsid w:val="775F4656"/>
    <w:rsid w:val="776C25E5"/>
    <w:rsid w:val="776C3E9D"/>
    <w:rsid w:val="777146DC"/>
    <w:rsid w:val="77747495"/>
    <w:rsid w:val="77813C44"/>
    <w:rsid w:val="7797606B"/>
    <w:rsid w:val="779E1F21"/>
    <w:rsid w:val="77B7237F"/>
    <w:rsid w:val="77E40842"/>
    <w:rsid w:val="77E53C4F"/>
    <w:rsid w:val="77E70ADF"/>
    <w:rsid w:val="77FD2C5E"/>
    <w:rsid w:val="78271104"/>
    <w:rsid w:val="7828402F"/>
    <w:rsid w:val="782F5476"/>
    <w:rsid w:val="783000F4"/>
    <w:rsid w:val="78464A37"/>
    <w:rsid w:val="784A60C8"/>
    <w:rsid w:val="784B7472"/>
    <w:rsid w:val="785E7134"/>
    <w:rsid w:val="78661ED8"/>
    <w:rsid w:val="787A7B01"/>
    <w:rsid w:val="78861A8D"/>
    <w:rsid w:val="788F779E"/>
    <w:rsid w:val="78973BA6"/>
    <w:rsid w:val="78A376CA"/>
    <w:rsid w:val="78B82CD3"/>
    <w:rsid w:val="78BE1FA4"/>
    <w:rsid w:val="78C50594"/>
    <w:rsid w:val="78ED42D2"/>
    <w:rsid w:val="78F76941"/>
    <w:rsid w:val="78F82ED4"/>
    <w:rsid w:val="790114CB"/>
    <w:rsid w:val="7925703F"/>
    <w:rsid w:val="7931755D"/>
    <w:rsid w:val="793424DB"/>
    <w:rsid w:val="794563F3"/>
    <w:rsid w:val="7962750F"/>
    <w:rsid w:val="796B0021"/>
    <w:rsid w:val="796F42FD"/>
    <w:rsid w:val="79701A60"/>
    <w:rsid w:val="797152CB"/>
    <w:rsid w:val="797218E2"/>
    <w:rsid w:val="797F6705"/>
    <w:rsid w:val="79807FC2"/>
    <w:rsid w:val="79890D36"/>
    <w:rsid w:val="79990451"/>
    <w:rsid w:val="799D6ABE"/>
    <w:rsid w:val="79A65FED"/>
    <w:rsid w:val="79A70B11"/>
    <w:rsid w:val="79B43C51"/>
    <w:rsid w:val="79B6170C"/>
    <w:rsid w:val="79B84E48"/>
    <w:rsid w:val="79BB3341"/>
    <w:rsid w:val="79C17E5D"/>
    <w:rsid w:val="79C22F64"/>
    <w:rsid w:val="79D03D26"/>
    <w:rsid w:val="79D82517"/>
    <w:rsid w:val="79E43147"/>
    <w:rsid w:val="7A3466E6"/>
    <w:rsid w:val="7A410FED"/>
    <w:rsid w:val="7A4205D3"/>
    <w:rsid w:val="7A4F3DD9"/>
    <w:rsid w:val="7A577D70"/>
    <w:rsid w:val="7A5872B9"/>
    <w:rsid w:val="7A5C3640"/>
    <w:rsid w:val="7A73566B"/>
    <w:rsid w:val="7A761A22"/>
    <w:rsid w:val="7A7D4F17"/>
    <w:rsid w:val="7A801366"/>
    <w:rsid w:val="7A8138E5"/>
    <w:rsid w:val="7A8D6FD1"/>
    <w:rsid w:val="7A977FDA"/>
    <w:rsid w:val="7A9905B0"/>
    <w:rsid w:val="7A9C218A"/>
    <w:rsid w:val="7A9C3F7D"/>
    <w:rsid w:val="7AB05BBC"/>
    <w:rsid w:val="7AB27F2F"/>
    <w:rsid w:val="7AB44E97"/>
    <w:rsid w:val="7AB740EE"/>
    <w:rsid w:val="7AB94AC3"/>
    <w:rsid w:val="7ABB47EB"/>
    <w:rsid w:val="7AC61139"/>
    <w:rsid w:val="7AD33C0D"/>
    <w:rsid w:val="7AE36910"/>
    <w:rsid w:val="7AE709F8"/>
    <w:rsid w:val="7AEF7A90"/>
    <w:rsid w:val="7AF53C0B"/>
    <w:rsid w:val="7B07064A"/>
    <w:rsid w:val="7B0E6D55"/>
    <w:rsid w:val="7B144D45"/>
    <w:rsid w:val="7B265930"/>
    <w:rsid w:val="7B3E60A8"/>
    <w:rsid w:val="7B60366D"/>
    <w:rsid w:val="7B74384D"/>
    <w:rsid w:val="7B7A5AD3"/>
    <w:rsid w:val="7B826E52"/>
    <w:rsid w:val="7B940404"/>
    <w:rsid w:val="7BB6238F"/>
    <w:rsid w:val="7BBE7F6F"/>
    <w:rsid w:val="7BCA1026"/>
    <w:rsid w:val="7BD173B3"/>
    <w:rsid w:val="7BDD38EC"/>
    <w:rsid w:val="7BE0651B"/>
    <w:rsid w:val="7BF8597E"/>
    <w:rsid w:val="7C12395E"/>
    <w:rsid w:val="7C14711B"/>
    <w:rsid w:val="7C160DA1"/>
    <w:rsid w:val="7C1932F5"/>
    <w:rsid w:val="7C195B55"/>
    <w:rsid w:val="7C312516"/>
    <w:rsid w:val="7C45431D"/>
    <w:rsid w:val="7C4A144B"/>
    <w:rsid w:val="7C51263D"/>
    <w:rsid w:val="7C5B6D47"/>
    <w:rsid w:val="7C5E2D26"/>
    <w:rsid w:val="7C6B6B6B"/>
    <w:rsid w:val="7C6E0AD7"/>
    <w:rsid w:val="7C860D51"/>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F7E47"/>
    <w:rsid w:val="7D1C7EA0"/>
    <w:rsid w:val="7D21185C"/>
    <w:rsid w:val="7D2A35D5"/>
    <w:rsid w:val="7D345976"/>
    <w:rsid w:val="7D4C1C46"/>
    <w:rsid w:val="7D4F72D8"/>
    <w:rsid w:val="7D5B3E9F"/>
    <w:rsid w:val="7D5B5B2B"/>
    <w:rsid w:val="7D667A7D"/>
    <w:rsid w:val="7D7035DC"/>
    <w:rsid w:val="7D81439A"/>
    <w:rsid w:val="7D8F4F8D"/>
    <w:rsid w:val="7DA15D86"/>
    <w:rsid w:val="7DA47874"/>
    <w:rsid w:val="7DAC213C"/>
    <w:rsid w:val="7DAC49C4"/>
    <w:rsid w:val="7DB168E1"/>
    <w:rsid w:val="7DB44FBE"/>
    <w:rsid w:val="7DB704CD"/>
    <w:rsid w:val="7DC26A8B"/>
    <w:rsid w:val="7DC64605"/>
    <w:rsid w:val="7DCF7966"/>
    <w:rsid w:val="7DDD0501"/>
    <w:rsid w:val="7DF07571"/>
    <w:rsid w:val="7DF3716E"/>
    <w:rsid w:val="7E075F4F"/>
    <w:rsid w:val="7E2653BA"/>
    <w:rsid w:val="7E2B63E7"/>
    <w:rsid w:val="7E4048EE"/>
    <w:rsid w:val="7E5348C9"/>
    <w:rsid w:val="7E575DF3"/>
    <w:rsid w:val="7E8A1E6A"/>
    <w:rsid w:val="7E8B79FF"/>
    <w:rsid w:val="7E905860"/>
    <w:rsid w:val="7E9334E2"/>
    <w:rsid w:val="7E935AFB"/>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320715"/>
    <w:rsid w:val="7F424BA5"/>
    <w:rsid w:val="7F4610EC"/>
    <w:rsid w:val="7F485EDA"/>
    <w:rsid w:val="7F4F0016"/>
    <w:rsid w:val="7F50759A"/>
    <w:rsid w:val="7F5D7BDF"/>
    <w:rsid w:val="7F62141C"/>
    <w:rsid w:val="7F6D003B"/>
    <w:rsid w:val="7F73336C"/>
    <w:rsid w:val="7F7614D8"/>
    <w:rsid w:val="7F7A7D69"/>
    <w:rsid w:val="7F8029F6"/>
    <w:rsid w:val="7F822892"/>
    <w:rsid w:val="7F875650"/>
    <w:rsid w:val="7F8A68D8"/>
    <w:rsid w:val="7FA22782"/>
    <w:rsid w:val="7FA522BC"/>
    <w:rsid w:val="7FB05784"/>
    <w:rsid w:val="7FB148E7"/>
    <w:rsid w:val="7FBA19A1"/>
    <w:rsid w:val="7FC90A85"/>
    <w:rsid w:val="7FDC7B8D"/>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1"/>
    <w:link w:val="24"/>
    <w:qFormat/>
    <w:uiPriority w:val="0"/>
    <w:pPr>
      <w:keepNext/>
      <w:spacing w:before="240" w:after="60"/>
      <w:outlineLvl w:val="1"/>
    </w:pPr>
    <w:rPr>
      <w:rFonts w:ascii="Helvetica" w:hAnsi="Helvetica" w:eastAsia="MS Mincho"/>
      <w:b/>
      <w:bCs/>
      <w:iCs/>
      <w:szCs w:val="28"/>
      <w:lang w:val="zh-CN"/>
    </w:rPr>
  </w:style>
  <w:style w:type="paragraph" w:styleId="4">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link w:val="53"/>
    <w:semiHidden/>
    <w:unhideWhenUsed/>
    <w:qFormat/>
    <w:uiPriority w:val="99"/>
    <w:pPr>
      <w:spacing w:line="240" w:lineRule="auto"/>
    </w:pPr>
    <w:rPr>
      <w:szCs w:val="20"/>
    </w:rPr>
  </w:style>
  <w:style w:type="paragraph" w:styleId="8">
    <w:name w:val="Body Text"/>
    <w:basedOn w:val="1"/>
    <w:link w:val="25"/>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2"/>
    <w:semiHidden/>
    <w:unhideWhenUsed/>
    <w:qFormat/>
    <w:uiPriority w:val="99"/>
    <w:rPr>
      <w:sz w:val="18"/>
      <w:szCs w:val="18"/>
      <w:lang w:val="zh-CN"/>
    </w:rPr>
  </w:style>
  <w:style w:type="paragraph" w:styleId="13">
    <w:name w:val="footer"/>
    <w:basedOn w:val="1"/>
    <w:link w:val="28"/>
    <w:unhideWhenUsed/>
    <w:qFormat/>
    <w:uiPriority w:val="99"/>
    <w:pPr>
      <w:tabs>
        <w:tab w:val="center" w:pos="4153"/>
        <w:tab w:val="right" w:pos="8306"/>
      </w:tabs>
      <w:snapToGrid w:val="0"/>
    </w:pPr>
    <w:rPr>
      <w:sz w:val="18"/>
      <w:szCs w:val="18"/>
      <w:lang w:val="zh-CN"/>
    </w:rPr>
  </w:style>
  <w:style w:type="paragraph" w:styleId="14">
    <w:name w:val="header"/>
    <w:basedOn w:val="1"/>
    <w:link w:val="26"/>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7"/>
    <w:next w:val="7"/>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批注框文本 Char"/>
    <w:link w:val="12"/>
    <w:semiHidden/>
    <w:qFormat/>
    <w:uiPriority w:val="99"/>
    <w:rPr>
      <w:rFonts w:ascii="Times New Roman" w:hAnsi="Times New Roman" w:eastAsia="Times New Roman" w:cs="Times New Roman"/>
      <w:kern w:val="0"/>
      <w:sz w:val="18"/>
      <w:szCs w:val="18"/>
      <w:lang w:eastAsia="en-US"/>
    </w:rPr>
  </w:style>
  <w:style w:type="character" w:customStyle="1" w:styleId="23">
    <w:name w:val="标题 1 Char"/>
    <w:link w:val="2"/>
    <w:qFormat/>
    <w:uiPriority w:val="0"/>
    <w:rPr>
      <w:rFonts w:ascii="Helvetica" w:hAnsi="Helvetica" w:eastAsia="MS Mincho" w:cs="Times New Roman"/>
      <w:b/>
      <w:bCs/>
      <w:kern w:val="32"/>
      <w:sz w:val="28"/>
      <w:szCs w:val="32"/>
      <w:lang w:val="zh-CN" w:eastAsia="en-US"/>
    </w:rPr>
  </w:style>
  <w:style w:type="character" w:customStyle="1" w:styleId="24">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Char"/>
    <w:link w:val="8"/>
    <w:qFormat/>
    <w:uiPriority w:val="0"/>
    <w:rPr>
      <w:rFonts w:ascii="Times New Roman" w:hAnsi="Times New Roman" w:eastAsia="MS Mincho" w:cs="Times New Roman"/>
      <w:kern w:val="0"/>
      <w:sz w:val="20"/>
      <w:szCs w:val="24"/>
      <w:lang w:val="zh-CN" w:eastAsia="en-US"/>
    </w:rPr>
  </w:style>
  <w:style w:type="character" w:customStyle="1" w:styleId="26">
    <w:name w:val="页眉 Char"/>
    <w:link w:val="14"/>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Char"/>
    <w:link w:val="13"/>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7"/>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 w:type="paragraph" w:styleId="5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首标题"/>
    <w:qFormat/>
    <w:uiPriority w:val="0"/>
    <w:rPr>
      <w:rFonts w:ascii="Arial" w:hAnsi="Arial" w:eastAsia="宋体"/>
      <w:sz w:val="24"/>
    </w:rPr>
  </w:style>
  <w:style w:type="table" w:customStyle="1" w:styleId="60">
    <w:name w:val="网格型1"/>
    <w:basedOn w:val="17"/>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3</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2025-08-15T08:27:40Z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